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0DA9A90" w:rsidR="00E203C2" w:rsidRDefault="00E203C2" w:rsidP="00E203C2">
      <w:r>
        <w:rPr>
          <w:noProof/>
          <w:lang w:eastAsia="en-GB" w:bidi="ar-SA"/>
        </w:rPr>
        <w:drawing>
          <wp:inline distT="0" distB="0" distL="0" distR="0" wp14:anchorId="4A2E7454" wp14:editId="0D68780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Pr="0071508C" w:rsidRDefault="00E203C2" w:rsidP="00E203C2"/>
    <w:p w14:paraId="20F851E2" w14:textId="16A6C7D4" w:rsidR="00CA641D" w:rsidRPr="0071508C" w:rsidRDefault="0071508C" w:rsidP="00CA641D">
      <w:pPr>
        <w:rPr>
          <w:b/>
          <w:sz w:val="28"/>
          <w:szCs w:val="28"/>
        </w:rPr>
      </w:pPr>
      <w:r w:rsidRPr="0071508C">
        <w:rPr>
          <w:b/>
          <w:sz w:val="28"/>
          <w:szCs w:val="28"/>
        </w:rPr>
        <w:t>27 January 2021</w:t>
      </w:r>
    </w:p>
    <w:p w14:paraId="716A0F35" w14:textId="554A5052" w:rsidR="00CA641D" w:rsidRPr="0071508C" w:rsidRDefault="0071508C" w:rsidP="00CA641D">
      <w:pPr>
        <w:rPr>
          <w:b/>
          <w:sz w:val="28"/>
          <w:szCs w:val="28"/>
        </w:rPr>
      </w:pPr>
      <w:r w:rsidRPr="0071508C">
        <w:rPr>
          <w:b/>
          <w:sz w:val="28"/>
          <w:szCs w:val="28"/>
        </w:rPr>
        <w:t>148-21</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3EF53D3A" w:rsidR="00AF0509" w:rsidRDefault="003326FD" w:rsidP="00AF0509">
      <w:pPr>
        <w:pStyle w:val="FSTitle"/>
      </w:pPr>
      <w:bookmarkStart w:id="0" w:name="_GoBack"/>
      <w:r>
        <w:t xml:space="preserve">Risk </w:t>
      </w:r>
      <w:r w:rsidR="000C3587">
        <w:t xml:space="preserve">and </w:t>
      </w:r>
      <w:r>
        <w:t>technical</w:t>
      </w:r>
      <w:r w:rsidR="000C3587">
        <w:t xml:space="preserve"> </w:t>
      </w:r>
      <w:r w:rsidR="000C3587" w:rsidRPr="00AC6EE5">
        <w:t xml:space="preserve">assessment </w:t>
      </w:r>
      <w:bookmarkEnd w:id="0"/>
      <w:r w:rsidR="00AF0509" w:rsidRPr="00C709B3">
        <w:t>– Application A1</w:t>
      </w:r>
      <w:r w:rsidR="00250F95">
        <w:t>210</w:t>
      </w:r>
    </w:p>
    <w:p w14:paraId="1E09FD7A" w14:textId="77777777" w:rsidR="00AF0509" w:rsidRDefault="00AF0509" w:rsidP="00AF0509">
      <w:pPr>
        <w:pStyle w:val="FSTitle"/>
      </w:pPr>
      <w:r w:rsidRPr="00C709B3">
        <w:t xml:space="preserve"> </w:t>
      </w:r>
    </w:p>
    <w:p w14:paraId="54D25E41" w14:textId="77777777" w:rsidR="00250F95" w:rsidRPr="00250F95" w:rsidRDefault="00250F95" w:rsidP="00250F95">
      <w:pPr>
        <w:widowControl/>
        <w:rPr>
          <w:rFonts w:cs="Arial"/>
          <w:bCs/>
          <w:sz w:val="32"/>
          <w:szCs w:val="32"/>
          <w:lang w:bidi="ar-SA"/>
        </w:rPr>
      </w:pPr>
      <w:r w:rsidRPr="00250F95">
        <w:rPr>
          <w:bCs/>
          <w:iCs/>
          <w:sz w:val="32"/>
          <w:szCs w:val="32"/>
          <w:lang w:bidi="ar-SA"/>
        </w:rPr>
        <w:t xml:space="preserve">Maltogenic alpha amylase enzyme from GM </w:t>
      </w:r>
      <w:r w:rsidRPr="00250F95">
        <w:rPr>
          <w:bCs/>
          <w:i/>
          <w:iCs/>
          <w:sz w:val="32"/>
          <w:szCs w:val="32"/>
          <w:lang w:bidi="ar-SA"/>
        </w:rPr>
        <w:t>Saccharomyces cerevisiae</w:t>
      </w:r>
    </w:p>
    <w:p w14:paraId="09B71F9F" w14:textId="77777777" w:rsidR="007B1854" w:rsidRPr="00B37BF0" w:rsidRDefault="007B1854"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9030964"/>
      <w:r w:rsidRPr="00092CDA">
        <w:t xml:space="preserve">Executive </w:t>
      </w:r>
      <w:r w:rsidR="00B12F1E">
        <w:t>s</w:t>
      </w:r>
      <w:r w:rsidRPr="00092CDA">
        <w:t>ummary</w:t>
      </w:r>
      <w:bookmarkEnd w:id="1"/>
      <w:bookmarkEnd w:id="2"/>
      <w:bookmarkEnd w:id="3"/>
    </w:p>
    <w:p w14:paraId="17DA1B99" w14:textId="089FEC80" w:rsidR="00A147EB" w:rsidRDefault="00A147EB" w:rsidP="00A147EB">
      <w:pPr>
        <w:rPr>
          <w:lang w:val="en-AU"/>
        </w:rPr>
      </w:pPr>
      <w:r>
        <w:rPr>
          <w:lang w:val="en-AU"/>
        </w:rPr>
        <w:t xml:space="preserve">The purpose of the application is to amend Schedule 18 – Processing Aids of the </w:t>
      </w:r>
      <w:r w:rsidRPr="00A710D7">
        <w:rPr>
          <w:lang w:val="en-AU"/>
        </w:rPr>
        <w:t>Australia New Zealand Food Standards Code</w:t>
      </w:r>
      <w:r>
        <w:rPr>
          <w:lang w:val="en-AU"/>
        </w:rPr>
        <w:t xml:space="preserve"> (the Code) to include </w:t>
      </w:r>
      <w:r w:rsidR="00031D7D">
        <w:rPr>
          <w:lang w:val="en-AU"/>
        </w:rPr>
        <w:t>a protein engineered</w:t>
      </w:r>
      <w:r w:rsidRPr="00AB3FCF">
        <w:rPr>
          <w:lang w:val="en-AU"/>
        </w:rPr>
        <w:t xml:space="preserve"> </w:t>
      </w:r>
      <w:r>
        <w:rPr>
          <w:lang w:val="en-AU"/>
        </w:rPr>
        <w:t>maltogenic alpha-amylase</w:t>
      </w:r>
      <w:r w:rsidRPr="00AB3FCF">
        <w:rPr>
          <w:lang w:val="en-AU"/>
        </w:rPr>
        <w:t xml:space="preserve"> (</w:t>
      </w:r>
      <w:r w:rsidRPr="00A147EB">
        <w:rPr>
          <w:lang w:val="en-AU"/>
        </w:rPr>
        <w:t>EC 3.2.1.133</w:t>
      </w:r>
      <w:r w:rsidRPr="00AB3FCF">
        <w:rPr>
          <w:lang w:val="en-AU"/>
        </w:rPr>
        <w:t xml:space="preserve">) from a genetically modified </w:t>
      </w:r>
      <w:r>
        <w:rPr>
          <w:lang w:val="en-AU"/>
        </w:rPr>
        <w:t xml:space="preserve">(GM) </w:t>
      </w:r>
      <w:r w:rsidRPr="00AB3FCF">
        <w:rPr>
          <w:lang w:val="en-AU"/>
        </w:rPr>
        <w:t xml:space="preserve">strain of </w:t>
      </w:r>
      <w:r w:rsidRPr="00661CF6">
        <w:rPr>
          <w:i/>
        </w:rPr>
        <w:t>Saccharomyces cerevisiae</w:t>
      </w:r>
      <w:r>
        <w:rPr>
          <w:i/>
          <w:lang w:val="en-AU"/>
        </w:rPr>
        <w:t xml:space="preserve">. </w:t>
      </w:r>
      <w:r>
        <w:rPr>
          <w:lang w:val="en-AU"/>
        </w:rPr>
        <w:t>Th</w:t>
      </w:r>
      <w:r w:rsidR="00031D7D">
        <w:rPr>
          <w:lang w:val="en-AU"/>
        </w:rPr>
        <w:t>e source</w:t>
      </w:r>
      <w:r>
        <w:rPr>
          <w:lang w:val="en-AU"/>
        </w:rPr>
        <w:t xml:space="preserve"> organism </w:t>
      </w:r>
      <w:r w:rsidR="00031D7D">
        <w:rPr>
          <w:lang w:val="en-AU"/>
        </w:rPr>
        <w:t>for the enzyme</w:t>
      </w:r>
      <w:r w:rsidR="00E22525">
        <w:rPr>
          <w:lang w:val="en-AU"/>
        </w:rPr>
        <w:t xml:space="preserve"> gene</w:t>
      </w:r>
      <w:r w:rsidR="00031D7D">
        <w:rPr>
          <w:lang w:val="en-AU"/>
        </w:rPr>
        <w:t xml:space="preserve"> is</w:t>
      </w:r>
      <w:r w:rsidRPr="0028261F">
        <w:rPr>
          <w:i/>
          <w:lang w:val="en-AU"/>
        </w:rPr>
        <w:t xml:space="preserve"> </w:t>
      </w:r>
      <w:r w:rsidRPr="00413958">
        <w:rPr>
          <w:i/>
        </w:rPr>
        <w:t>Geobacillus stearothermophilus</w:t>
      </w:r>
      <w:r w:rsidRPr="00A147EB">
        <w:rPr>
          <w:lang w:val="en-AU"/>
        </w:rPr>
        <w:t xml:space="preserve">. </w:t>
      </w:r>
      <w:r w:rsidR="00FB115D">
        <w:rPr>
          <w:lang w:val="en-AU"/>
        </w:rPr>
        <w:t>The proposed use of m</w:t>
      </w:r>
      <w:r w:rsidRPr="00A147EB">
        <w:rPr>
          <w:lang w:val="en-AU"/>
        </w:rPr>
        <w:t xml:space="preserve">altogenic </w:t>
      </w:r>
      <w:r>
        <w:rPr>
          <w:lang w:val="en-AU"/>
        </w:rPr>
        <w:t xml:space="preserve">alpha-amylase is as a processing aid in </w:t>
      </w:r>
      <w:r w:rsidRPr="00F00B9A">
        <w:t>the manufacture of bakery products</w:t>
      </w:r>
      <w:r w:rsidR="00FB115D">
        <w:t>. It</w:t>
      </w:r>
      <w:r w:rsidRPr="00F00B9A">
        <w:t xml:space="preserve"> assist</w:t>
      </w:r>
      <w:r w:rsidR="00FB115D">
        <w:t>s</w:t>
      </w:r>
      <w:r w:rsidRPr="00F00B9A">
        <w:t xml:space="preserve"> in limiting staling of </w:t>
      </w:r>
      <w:r w:rsidR="00FB115D">
        <w:t>baked</w:t>
      </w:r>
      <w:r w:rsidRPr="00F00B9A">
        <w:t xml:space="preserve"> product</w:t>
      </w:r>
      <w:r w:rsidR="00FB115D">
        <w:t>s</w:t>
      </w:r>
      <w:r w:rsidRPr="00F00B9A">
        <w:t xml:space="preserve"> and so improve</w:t>
      </w:r>
      <w:r w:rsidR="001D7C88">
        <w:t>s</w:t>
      </w:r>
      <w:r w:rsidRPr="00F00B9A">
        <w:t xml:space="preserve"> the quality and shelf life of the baked product</w:t>
      </w:r>
      <w:r w:rsidR="00FB115D">
        <w:t>, which</w:t>
      </w:r>
      <w:r w:rsidRPr="00F00B9A">
        <w:t xml:space="preserve"> is clearly </w:t>
      </w:r>
      <w:r>
        <w:t>articulated in the application.</w:t>
      </w:r>
    </w:p>
    <w:p w14:paraId="2561815E" w14:textId="77777777" w:rsidR="00A147EB" w:rsidRPr="005D7D80" w:rsidRDefault="00A147EB" w:rsidP="00A147EB">
      <w:pPr>
        <w:rPr>
          <w:lang w:val="en-AU"/>
        </w:rPr>
      </w:pPr>
    </w:p>
    <w:p w14:paraId="28ACC340" w14:textId="7F9A0EB0" w:rsidR="00A147EB" w:rsidRPr="004E38D4" w:rsidRDefault="00A147EB" w:rsidP="00A147EB">
      <w:pPr>
        <w:pStyle w:val="FSBullet1"/>
        <w:numPr>
          <w:ilvl w:val="0"/>
          <w:numId w:val="0"/>
        </w:numPr>
        <w:rPr>
          <w:lang w:val="en-AU"/>
        </w:rPr>
      </w:pPr>
      <w:r w:rsidRPr="0084305A">
        <w:rPr>
          <w:lang w:val="en-AU"/>
        </w:rPr>
        <w:t xml:space="preserve">The evidence presented to support the proposed use of the enzyme provides adequate assurance that the enzyme, in </w:t>
      </w:r>
      <w:r>
        <w:rPr>
          <w:lang w:val="en-AU"/>
        </w:rPr>
        <w:t xml:space="preserve">the quantity and form proposed to be used, </w:t>
      </w:r>
      <w:r w:rsidRPr="0084305A">
        <w:rPr>
          <w:lang w:val="en-AU"/>
        </w:rPr>
        <w:t>is technologically justified and has been demonstrated to be effective</w:t>
      </w:r>
      <w:r>
        <w:rPr>
          <w:lang w:val="en-AU"/>
        </w:rPr>
        <w:t xml:space="preserve"> in achieving its stated purpose</w:t>
      </w:r>
      <w:r w:rsidRPr="0084305A">
        <w:rPr>
          <w:lang w:val="en-AU"/>
        </w:rPr>
        <w:t>. The enzyme meets international purity specifications</w:t>
      </w:r>
      <w:r>
        <w:rPr>
          <w:lang w:val="en-AU"/>
        </w:rPr>
        <w:t xml:space="preserve"> and </w:t>
      </w:r>
      <w:r w:rsidRPr="005D7D80">
        <w:t xml:space="preserve">has been authorised for use in the USA. </w:t>
      </w:r>
    </w:p>
    <w:p w14:paraId="06CB2866" w14:textId="77777777" w:rsidR="00A147EB" w:rsidRDefault="00A147EB" w:rsidP="00A147EB">
      <w:pPr>
        <w:rPr>
          <w:lang w:val="en-AU"/>
        </w:rPr>
      </w:pPr>
    </w:p>
    <w:p w14:paraId="262808E0" w14:textId="404DDCB2" w:rsidR="00A147EB" w:rsidRDefault="00A147EB" w:rsidP="00A147EB">
      <w:r w:rsidRPr="00DE4B0A">
        <w:rPr>
          <w:lang w:bidi="ar-SA"/>
        </w:rPr>
        <w:t>The safety assessment concluded th</w:t>
      </w:r>
      <w:r>
        <w:rPr>
          <w:lang w:bidi="ar-SA"/>
        </w:rPr>
        <w:t xml:space="preserve">at the use of the enzyme under the proposed conditions is safe. </w:t>
      </w:r>
      <w:r w:rsidR="000A17A8">
        <w:rPr>
          <w:lang w:bidi="ar-SA"/>
        </w:rPr>
        <w:t xml:space="preserve">The </w:t>
      </w:r>
      <w:r w:rsidRPr="00DE4B0A">
        <w:rPr>
          <w:lang w:bidi="ar-SA"/>
        </w:rPr>
        <w:t>host</w:t>
      </w:r>
      <w:r w:rsidR="000A17A8">
        <w:rPr>
          <w:lang w:bidi="ar-SA"/>
        </w:rPr>
        <w:t xml:space="preserve"> is</w:t>
      </w:r>
      <w:r w:rsidRPr="00DE4B0A">
        <w:rPr>
          <w:lang w:bidi="ar-SA"/>
        </w:rPr>
        <w:t xml:space="preserve"> neither pathogenic nor toxigenic and </w:t>
      </w:r>
      <w:r w:rsidR="000A17A8">
        <w:rPr>
          <w:lang w:bidi="ar-SA"/>
        </w:rPr>
        <w:t>has</w:t>
      </w:r>
      <w:r w:rsidR="00AF4AD0" w:rsidRPr="00DE4B0A">
        <w:rPr>
          <w:lang w:bidi="ar-SA"/>
        </w:rPr>
        <w:t xml:space="preserve"> a </w:t>
      </w:r>
      <w:r w:rsidR="00DC6E79">
        <w:rPr>
          <w:lang w:bidi="ar-SA"/>
        </w:rPr>
        <w:t xml:space="preserve">long </w:t>
      </w:r>
      <w:r w:rsidR="00AF4AD0" w:rsidRPr="00DE4B0A">
        <w:rPr>
          <w:lang w:bidi="ar-SA"/>
        </w:rPr>
        <w:t>history of safe use</w:t>
      </w:r>
      <w:r w:rsidR="000A17A8">
        <w:rPr>
          <w:lang w:bidi="ar-SA"/>
        </w:rPr>
        <w:t xml:space="preserve"> in food. The gene donor organism has a history of safe use for the production of food enzymes </w:t>
      </w:r>
      <w:r w:rsidR="0048348F">
        <w:rPr>
          <w:lang w:bidi="ar-SA"/>
        </w:rPr>
        <w:t>and raise</w:t>
      </w:r>
      <w:r w:rsidR="00DC6E79">
        <w:rPr>
          <w:lang w:bidi="ar-SA"/>
        </w:rPr>
        <w:t>s</w:t>
      </w:r>
      <w:r w:rsidR="0048348F">
        <w:rPr>
          <w:lang w:bidi="ar-SA"/>
        </w:rPr>
        <w:t xml:space="preserve"> no public health concerns</w:t>
      </w:r>
      <w:r w:rsidR="00AF4AD0">
        <w:rPr>
          <w:lang w:bidi="ar-SA"/>
        </w:rPr>
        <w:t xml:space="preserve">. </w:t>
      </w:r>
      <w:r w:rsidR="0048348F">
        <w:rPr>
          <w:lang w:bidi="ar-SA"/>
        </w:rPr>
        <w:t>T</w:t>
      </w:r>
      <w:r w:rsidRPr="00DE4B0A">
        <w:rPr>
          <w:lang w:bidi="ar-SA"/>
        </w:rPr>
        <w:t xml:space="preserve">he </w:t>
      </w:r>
      <w:r>
        <w:rPr>
          <w:lang w:bidi="ar-SA"/>
        </w:rPr>
        <w:t xml:space="preserve">GM </w:t>
      </w:r>
      <w:r w:rsidR="00AF4AD0">
        <w:rPr>
          <w:lang w:bidi="ar-SA"/>
        </w:rPr>
        <w:t>production strain</w:t>
      </w:r>
      <w:r w:rsidRPr="00DE4B0A">
        <w:rPr>
          <w:lang w:bidi="ar-SA"/>
        </w:rPr>
        <w:t xml:space="preserve"> </w:t>
      </w:r>
      <w:r w:rsidR="0048348F">
        <w:rPr>
          <w:lang w:bidi="ar-SA"/>
        </w:rPr>
        <w:t xml:space="preserve">was </w:t>
      </w:r>
      <w:r w:rsidRPr="00DE4B0A">
        <w:rPr>
          <w:lang w:bidi="ar-SA"/>
        </w:rPr>
        <w:t xml:space="preserve">confirmed </w:t>
      </w:r>
      <w:r w:rsidR="0048348F">
        <w:rPr>
          <w:lang w:bidi="ar-SA"/>
        </w:rPr>
        <w:t xml:space="preserve">to contain the </w:t>
      </w:r>
      <w:r w:rsidR="005C6FFB">
        <w:rPr>
          <w:lang w:bidi="ar-SA"/>
        </w:rPr>
        <w:t>inserted DNA and this DNA was shown to be inherited across several generations.</w:t>
      </w:r>
      <w:r w:rsidR="000E7ABE">
        <w:rPr>
          <w:lang w:bidi="ar-SA"/>
        </w:rPr>
        <w:t xml:space="preserve"> </w:t>
      </w:r>
      <w:r w:rsidR="005C6FFB">
        <w:rPr>
          <w:lang w:bidi="ar-SA"/>
        </w:rPr>
        <w:t>While</w:t>
      </w:r>
      <w:r w:rsidR="00A70443">
        <w:rPr>
          <w:lang w:bidi="ar-SA"/>
        </w:rPr>
        <w:t xml:space="preserve"> there is a lack of history of safe use of this specific enzyme, the alpha-amylase extracted directly from the source organism has a long history of safe use. The enzyme shows no significant homology to any known toxins. </w:t>
      </w:r>
      <w:r w:rsidR="00D810D3">
        <w:t>A</w:t>
      </w:r>
      <w:r>
        <w:t xml:space="preserve"> </w:t>
      </w:r>
      <w:r w:rsidRPr="00542892">
        <w:t xml:space="preserve">degree of homology between the </w:t>
      </w:r>
      <w:r w:rsidR="00031D7D">
        <w:t>protein engineered maltogenic</w:t>
      </w:r>
      <w:r w:rsidR="00031D7D" w:rsidRPr="00542892">
        <w:t xml:space="preserve"> </w:t>
      </w:r>
      <w:r>
        <w:t>alpha-</w:t>
      </w:r>
      <w:r w:rsidRPr="00542892">
        <w:t xml:space="preserve">amylase </w:t>
      </w:r>
      <w:r>
        <w:t>and</w:t>
      </w:r>
      <w:r w:rsidRPr="00542892">
        <w:t xml:space="preserve"> </w:t>
      </w:r>
      <w:r>
        <w:t>several</w:t>
      </w:r>
      <w:r w:rsidRPr="00542892">
        <w:t xml:space="preserve"> respiratory allergen</w:t>
      </w:r>
      <w:r>
        <w:t>s was found</w:t>
      </w:r>
      <w:r w:rsidR="00D810D3">
        <w:t xml:space="preserve">. </w:t>
      </w:r>
      <w:r w:rsidR="00650AA6">
        <w:t xml:space="preserve">However, </w:t>
      </w:r>
      <w:r>
        <w:t xml:space="preserve">respiratory allergens are </w:t>
      </w:r>
      <w:r w:rsidR="00650AA6">
        <w:t>generally</w:t>
      </w:r>
      <w:r>
        <w:t xml:space="preserve"> not food allergens,</w:t>
      </w:r>
      <w:r w:rsidR="00D810D3">
        <w:t xml:space="preserve"> and </w:t>
      </w:r>
      <w:r w:rsidR="00650AA6">
        <w:t xml:space="preserve">since </w:t>
      </w:r>
      <w:r w:rsidR="00D810D3">
        <w:lastRenderedPageBreak/>
        <w:t xml:space="preserve">the </w:t>
      </w:r>
      <w:r w:rsidR="00A70443">
        <w:t>enzyme</w:t>
      </w:r>
      <w:r w:rsidR="00D810D3">
        <w:t xml:space="preserve"> is completely de</w:t>
      </w:r>
      <w:r w:rsidR="00A70443">
        <w:t>graded</w:t>
      </w:r>
      <w:r w:rsidR="00D810D3">
        <w:t xml:space="preserve"> under the conditions of the human stomach,</w:t>
      </w:r>
      <w:r>
        <w:t xml:space="preserve"> the risk of food allergy </w:t>
      </w:r>
      <w:r>
        <w:rPr>
          <w:lang w:bidi="ar-SA"/>
        </w:rPr>
        <w:t xml:space="preserve">from the proposed uses of the enzyme is </w:t>
      </w:r>
      <w:r w:rsidR="00D810D3">
        <w:rPr>
          <w:lang w:bidi="ar-SA"/>
        </w:rPr>
        <w:t>considered to be negligible</w:t>
      </w:r>
      <w:r>
        <w:rPr>
          <w:lang w:bidi="ar-SA"/>
        </w:rPr>
        <w:t xml:space="preserve">. </w:t>
      </w:r>
    </w:p>
    <w:p w14:paraId="68E94127" w14:textId="77777777" w:rsidR="00A147EB" w:rsidRDefault="00A147EB" w:rsidP="00A147EB">
      <w:pPr>
        <w:rPr>
          <w:lang w:bidi="ar-SA"/>
        </w:rPr>
      </w:pPr>
    </w:p>
    <w:p w14:paraId="10664C53" w14:textId="76FE77E1" w:rsidR="00461491" w:rsidRDefault="00A147EB" w:rsidP="000E6DE2">
      <w:pPr>
        <w:widowControl/>
        <w:rPr>
          <w:lang w:eastAsia="en-AU"/>
        </w:rPr>
        <w:sectPr w:rsidR="00461491"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sidRPr="005D7D80">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12E4928" w14:textId="1317EAF1" w:rsidR="002075D5" w:rsidRDefault="00C77E95">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fldChar w:fldCharType="begin"/>
      </w:r>
      <w:r>
        <w:instrText xml:space="preserve"> TOC \o "1-2" \h \z \u </w:instrText>
      </w:r>
      <w:r>
        <w:fldChar w:fldCharType="separate"/>
      </w:r>
      <w:hyperlink w:anchor="_Toc59030964" w:history="1">
        <w:r w:rsidR="002075D5" w:rsidRPr="00E21366">
          <w:rPr>
            <w:rStyle w:val="Hyperlink"/>
            <w:noProof/>
          </w:rPr>
          <w:t>Executive summary</w:t>
        </w:r>
        <w:r w:rsidR="002075D5">
          <w:rPr>
            <w:noProof/>
            <w:webHidden/>
          </w:rPr>
          <w:tab/>
        </w:r>
        <w:r w:rsidR="002075D5">
          <w:rPr>
            <w:noProof/>
            <w:webHidden/>
          </w:rPr>
          <w:fldChar w:fldCharType="begin"/>
        </w:r>
        <w:r w:rsidR="002075D5">
          <w:rPr>
            <w:noProof/>
            <w:webHidden/>
          </w:rPr>
          <w:instrText xml:space="preserve"> PAGEREF _Toc59030964 \h </w:instrText>
        </w:r>
        <w:r w:rsidR="002075D5">
          <w:rPr>
            <w:noProof/>
            <w:webHidden/>
          </w:rPr>
        </w:r>
        <w:r w:rsidR="002075D5">
          <w:rPr>
            <w:noProof/>
            <w:webHidden/>
          </w:rPr>
          <w:fldChar w:fldCharType="separate"/>
        </w:r>
        <w:r w:rsidR="002471A6">
          <w:rPr>
            <w:noProof/>
            <w:webHidden/>
          </w:rPr>
          <w:t>i</w:t>
        </w:r>
        <w:r w:rsidR="002075D5">
          <w:rPr>
            <w:noProof/>
            <w:webHidden/>
          </w:rPr>
          <w:fldChar w:fldCharType="end"/>
        </w:r>
      </w:hyperlink>
    </w:p>
    <w:p w14:paraId="47B97C2B" w14:textId="3872F19A" w:rsidR="002075D5" w:rsidRDefault="0071508C">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9030965" w:history="1">
        <w:r w:rsidR="002075D5" w:rsidRPr="00E21366">
          <w:rPr>
            <w:rStyle w:val="Hyperlink"/>
            <w:noProof/>
          </w:rPr>
          <w:t xml:space="preserve">1 </w:t>
        </w:r>
        <w:r w:rsidR="002075D5">
          <w:rPr>
            <w:rFonts w:asciiTheme="minorHAnsi" w:eastAsiaTheme="minorEastAsia" w:hAnsiTheme="minorHAnsi" w:cstheme="minorBidi"/>
            <w:b w:val="0"/>
            <w:bCs w:val="0"/>
            <w:caps w:val="0"/>
            <w:noProof/>
            <w:sz w:val="22"/>
            <w:szCs w:val="22"/>
            <w:lang w:eastAsia="en-GB" w:bidi="ar-SA"/>
          </w:rPr>
          <w:tab/>
        </w:r>
        <w:r w:rsidR="002075D5" w:rsidRPr="00E21366">
          <w:rPr>
            <w:rStyle w:val="Hyperlink"/>
            <w:noProof/>
          </w:rPr>
          <w:t>Introduction</w:t>
        </w:r>
        <w:r w:rsidR="002075D5">
          <w:rPr>
            <w:noProof/>
            <w:webHidden/>
          </w:rPr>
          <w:tab/>
        </w:r>
        <w:r w:rsidR="002075D5">
          <w:rPr>
            <w:noProof/>
            <w:webHidden/>
          </w:rPr>
          <w:fldChar w:fldCharType="begin"/>
        </w:r>
        <w:r w:rsidR="002075D5">
          <w:rPr>
            <w:noProof/>
            <w:webHidden/>
          </w:rPr>
          <w:instrText xml:space="preserve"> PAGEREF _Toc59030965 \h </w:instrText>
        </w:r>
        <w:r w:rsidR="002075D5">
          <w:rPr>
            <w:noProof/>
            <w:webHidden/>
          </w:rPr>
        </w:r>
        <w:r w:rsidR="002075D5">
          <w:rPr>
            <w:noProof/>
            <w:webHidden/>
          </w:rPr>
          <w:fldChar w:fldCharType="separate"/>
        </w:r>
        <w:r w:rsidR="002471A6">
          <w:rPr>
            <w:noProof/>
            <w:webHidden/>
          </w:rPr>
          <w:t>2</w:t>
        </w:r>
        <w:r w:rsidR="002075D5">
          <w:rPr>
            <w:noProof/>
            <w:webHidden/>
          </w:rPr>
          <w:fldChar w:fldCharType="end"/>
        </w:r>
      </w:hyperlink>
    </w:p>
    <w:p w14:paraId="31DD4D7F" w14:textId="7793FC9F"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66" w:history="1">
        <w:r w:rsidR="002075D5" w:rsidRPr="00E21366">
          <w:rPr>
            <w:rStyle w:val="Hyperlink"/>
            <w:noProof/>
          </w:rPr>
          <w:t>1.1</w:t>
        </w:r>
        <w:r w:rsidR="002075D5">
          <w:rPr>
            <w:rFonts w:eastAsiaTheme="minorEastAsia" w:cstheme="minorBidi"/>
            <w:smallCaps w:val="0"/>
            <w:noProof/>
            <w:sz w:val="22"/>
            <w:szCs w:val="22"/>
            <w:lang w:eastAsia="en-GB" w:bidi="ar-SA"/>
          </w:rPr>
          <w:tab/>
        </w:r>
        <w:r w:rsidR="002075D5" w:rsidRPr="00E21366">
          <w:rPr>
            <w:rStyle w:val="Hyperlink"/>
            <w:noProof/>
          </w:rPr>
          <w:t>Objectives of the assessment</w:t>
        </w:r>
        <w:r w:rsidR="002075D5">
          <w:rPr>
            <w:noProof/>
            <w:webHidden/>
          </w:rPr>
          <w:tab/>
        </w:r>
        <w:r w:rsidR="002075D5">
          <w:rPr>
            <w:noProof/>
            <w:webHidden/>
          </w:rPr>
          <w:fldChar w:fldCharType="begin"/>
        </w:r>
        <w:r w:rsidR="002075D5">
          <w:rPr>
            <w:noProof/>
            <w:webHidden/>
          </w:rPr>
          <w:instrText xml:space="preserve"> PAGEREF _Toc59030966 \h </w:instrText>
        </w:r>
        <w:r w:rsidR="002075D5">
          <w:rPr>
            <w:noProof/>
            <w:webHidden/>
          </w:rPr>
        </w:r>
        <w:r w:rsidR="002075D5">
          <w:rPr>
            <w:noProof/>
            <w:webHidden/>
          </w:rPr>
          <w:fldChar w:fldCharType="separate"/>
        </w:r>
        <w:r w:rsidR="002471A6">
          <w:rPr>
            <w:noProof/>
            <w:webHidden/>
          </w:rPr>
          <w:t>2</w:t>
        </w:r>
        <w:r w:rsidR="002075D5">
          <w:rPr>
            <w:noProof/>
            <w:webHidden/>
          </w:rPr>
          <w:fldChar w:fldCharType="end"/>
        </w:r>
      </w:hyperlink>
    </w:p>
    <w:p w14:paraId="11F2CCBE" w14:textId="5BF41A72" w:rsidR="002075D5" w:rsidRDefault="0071508C">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9030967" w:history="1">
        <w:r w:rsidR="002075D5" w:rsidRPr="00E21366">
          <w:rPr>
            <w:rStyle w:val="Hyperlink"/>
            <w:noProof/>
          </w:rPr>
          <w:t>2</w:t>
        </w:r>
        <w:r w:rsidR="002075D5">
          <w:rPr>
            <w:rFonts w:asciiTheme="minorHAnsi" w:eastAsiaTheme="minorEastAsia" w:hAnsiTheme="minorHAnsi" w:cstheme="minorBidi"/>
            <w:b w:val="0"/>
            <w:bCs w:val="0"/>
            <w:caps w:val="0"/>
            <w:noProof/>
            <w:sz w:val="22"/>
            <w:szCs w:val="22"/>
            <w:lang w:eastAsia="en-GB" w:bidi="ar-SA"/>
          </w:rPr>
          <w:tab/>
        </w:r>
        <w:r w:rsidR="002075D5" w:rsidRPr="00E21366">
          <w:rPr>
            <w:rStyle w:val="Hyperlink"/>
            <w:noProof/>
          </w:rPr>
          <w:t>Food technology assessment</w:t>
        </w:r>
        <w:r w:rsidR="002075D5">
          <w:rPr>
            <w:noProof/>
            <w:webHidden/>
          </w:rPr>
          <w:tab/>
        </w:r>
        <w:r w:rsidR="002075D5">
          <w:rPr>
            <w:noProof/>
            <w:webHidden/>
          </w:rPr>
          <w:fldChar w:fldCharType="begin"/>
        </w:r>
        <w:r w:rsidR="002075D5">
          <w:rPr>
            <w:noProof/>
            <w:webHidden/>
          </w:rPr>
          <w:instrText xml:space="preserve"> PAGEREF _Toc59030967 \h </w:instrText>
        </w:r>
        <w:r w:rsidR="002075D5">
          <w:rPr>
            <w:noProof/>
            <w:webHidden/>
          </w:rPr>
        </w:r>
        <w:r w:rsidR="002075D5">
          <w:rPr>
            <w:noProof/>
            <w:webHidden/>
          </w:rPr>
          <w:fldChar w:fldCharType="separate"/>
        </w:r>
        <w:r w:rsidR="002471A6">
          <w:rPr>
            <w:noProof/>
            <w:webHidden/>
          </w:rPr>
          <w:t>2</w:t>
        </w:r>
        <w:r w:rsidR="002075D5">
          <w:rPr>
            <w:noProof/>
            <w:webHidden/>
          </w:rPr>
          <w:fldChar w:fldCharType="end"/>
        </w:r>
      </w:hyperlink>
    </w:p>
    <w:p w14:paraId="2AA55311" w14:textId="7684CD7B"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68" w:history="1">
        <w:r w:rsidR="002075D5" w:rsidRPr="00E21366">
          <w:rPr>
            <w:rStyle w:val="Hyperlink"/>
            <w:noProof/>
          </w:rPr>
          <w:t>2.1</w:t>
        </w:r>
        <w:r w:rsidR="002075D5">
          <w:rPr>
            <w:rFonts w:eastAsiaTheme="minorEastAsia" w:cstheme="minorBidi"/>
            <w:smallCaps w:val="0"/>
            <w:noProof/>
            <w:sz w:val="22"/>
            <w:szCs w:val="22"/>
            <w:lang w:eastAsia="en-GB" w:bidi="ar-SA"/>
          </w:rPr>
          <w:tab/>
        </w:r>
        <w:r w:rsidR="002075D5" w:rsidRPr="00E21366">
          <w:rPr>
            <w:rStyle w:val="Hyperlink"/>
            <w:noProof/>
          </w:rPr>
          <w:t>Characterisation of the enzyme</w:t>
        </w:r>
        <w:r w:rsidR="002075D5">
          <w:rPr>
            <w:noProof/>
            <w:webHidden/>
          </w:rPr>
          <w:tab/>
        </w:r>
        <w:r w:rsidR="002075D5">
          <w:rPr>
            <w:noProof/>
            <w:webHidden/>
          </w:rPr>
          <w:fldChar w:fldCharType="begin"/>
        </w:r>
        <w:r w:rsidR="002075D5">
          <w:rPr>
            <w:noProof/>
            <w:webHidden/>
          </w:rPr>
          <w:instrText xml:space="preserve"> PAGEREF _Toc59030968 \h </w:instrText>
        </w:r>
        <w:r w:rsidR="002075D5">
          <w:rPr>
            <w:noProof/>
            <w:webHidden/>
          </w:rPr>
        </w:r>
        <w:r w:rsidR="002075D5">
          <w:rPr>
            <w:noProof/>
            <w:webHidden/>
          </w:rPr>
          <w:fldChar w:fldCharType="separate"/>
        </w:r>
        <w:r w:rsidR="002471A6">
          <w:rPr>
            <w:noProof/>
            <w:webHidden/>
          </w:rPr>
          <w:t>2</w:t>
        </w:r>
        <w:r w:rsidR="002075D5">
          <w:rPr>
            <w:noProof/>
            <w:webHidden/>
          </w:rPr>
          <w:fldChar w:fldCharType="end"/>
        </w:r>
      </w:hyperlink>
    </w:p>
    <w:p w14:paraId="237075F0" w14:textId="788E45D2"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69" w:history="1">
        <w:r w:rsidR="002075D5" w:rsidRPr="00E21366">
          <w:rPr>
            <w:rStyle w:val="Hyperlink"/>
            <w:noProof/>
          </w:rPr>
          <w:t>2.2</w:t>
        </w:r>
        <w:r w:rsidR="002075D5">
          <w:rPr>
            <w:rFonts w:eastAsiaTheme="minorEastAsia" w:cstheme="minorBidi"/>
            <w:smallCaps w:val="0"/>
            <w:noProof/>
            <w:sz w:val="22"/>
            <w:szCs w:val="22"/>
            <w:lang w:eastAsia="en-GB" w:bidi="ar-SA"/>
          </w:rPr>
          <w:tab/>
        </w:r>
        <w:r w:rsidR="002075D5" w:rsidRPr="00E21366">
          <w:rPr>
            <w:rStyle w:val="Hyperlink"/>
            <w:noProof/>
          </w:rPr>
          <w:t>Manufacturing process</w:t>
        </w:r>
        <w:r w:rsidR="002075D5">
          <w:rPr>
            <w:noProof/>
            <w:webHidden/>
          </w:rPr>
          <w:tab/>
        </w:r>
        <w:r w:rsidR="002075D5">
          <w:rPr>
            <w:noProof/>
            <w:webHidden/>
          </w:rPr>
          <w:fldChar w:fldCharType="begin"/>
        </w:r>
        <w:r w:rsidR="002075D5">
          <w:rPr>
            <w:noProof/>
            <w:webHidden/>
          </w:rPr>
          <w:instrText xml:space="preserve"> PAGEREF _Toc59030969 \h </w:instrText>
        </w:r>
        <w:r w:rsidR="002075D5">
          <w:rPr>
            <w:noProof/>
            <w:webHidden/>
          </w:rPr>
        </w:r>
        <w:r w:rsidR="002075D5">
          <w:rPr>
            <w:noProof/>
            <w:webHidden/>
          </w:rPr>
          <w:fldChar w:fldCharType="separate"/>
        </w:r>
        <w:r w:rsidR="002471A6">
          <w:rPr>
            <w:noProof/>
            <w:webHidden/>
          </w:rPr>
          <w:t>3</w:t>
        </w:r>
        <w:r w:rsidR="002075D5">
          <w:rPr>
            <w:noProof/>
            <w:webHidden/>
          </w:rPr>
          <w:fldChar w:fldCharType="end"/>
        </w:r>
      </w:hyperlink>
    </w:p>
    <w:p w14:paraId="2C694BF5" w14:textId="6A18B5DA"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0" w:history="1">
        <w:r w:rsidR="002075D5" w:rsidRPr="00E21366">
          <w:rPr>
            <w:rStyle w:val="Hyperlink"/>
            <w:noProof/>
          </w:rPr>
          <w:t>2.3</w:t>
        </w:r>
        <w:r w:rsidR="002075D5">
          <w:rPr>
            <w:rFonts w:eastAsiaTheme="minorEastAsia" w:cstheme="minorBidi"/>
            <w:smallCaps w:val="0"/>
            <w:noProof/>
            <w:sz w:val="22"/>
            <w:szCs w:val="22"/>
            <w:lang w:eastAsia="en-GB" w:bidi="ar-SA"/>
          </w:rPr>
          <w:tab/>
        </w:r>
        <w:r w:rsidR="002075D5" w:rsidRPr="00E21366">
          <w:rPr>
            <w:rStyle w:val="Hyperlink"/>
            <w:noProof/>
          </w:rPr>
          <w:t>Technological purpose of the enzyme</w:t>
        </w:r>
        <w:r w:rsidR="002075D5">
          <w:rPr>
            <w:noProof/>
            <w:webHidden/>
          </w:rPr>
          <w:tab/>
        </w:r>
        <w:r w:rsidR="002075D5">
          <w:rPr>
            <w:noProof/>
            <w:webHidden/>
          </w:rPr>
          <w:fldChar w:fldCharType="begin"/>
        </w:r>
        <w:r w:rsidR="002075D5">
          <w:rPr>
            <w:noProof/>
            <w:webHidden/>
          </w:rPr>
          <w:instrText xml:space="preserve"> PAGEREF _Toc59030970 \h </w:instrText>
        </w:r>
        <w:r w:rsidR="002075D5">
          <w:rPr>
            <w:noProof/>
            <w:webHidden/>
          </w:rPr>
        </w:r>
        <w:r w:rsidR="002075D5">
          <w:rPr>
            <w:noProof/>
            <w:webHidden/>
          </w:rPr>
          <w:fldChar w:fldCharType="separate"/>
        </w:r>
        <w:r w:rsidR="002471A6">
          <w:rPr>
            <w:noProof/>
            <w:webHidden/>
          </w:rPr>
          <w:t>4</w:t>
        </w:r>
        <w:r w:rsidR="002075D5">
          <w:rPr>
            <w:noProof/>
            <w:webHidden/>
          </w:rPr>
          <w:fldChar w:fldCharType="end"/>
        </w:r>
      </w:hyperlink>
    </w:p>
    <w:p w14:paraId="5E93D2B0" w14:textId="5A8E35DB"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1" w:history="1">
        <w:r w:rsidR="002075D5" w:rsidRPr="00E21366">
          <w:rPr>
            <w:rStyle w:val="Hyperlink"/>
            <w:noProof/>
          </w:rPr>
          <w:t>2.4</w:t>
        </w:r>
        <w:r w:rsidR="002075D5">
          <w:rPr>
            <w:rFonts w:eastAsiaTheme="minorEastAsia" w:cstheme="minorBidi"/>
            <w:smallCaps w:val="0"/>
            <w:noProof/>
            <w:sz w:val="22"/>
            <w:szCs w:val="22"/>
            <w:lang w:eastAsia="en-GB" w:bidi="ar-SA"/>
          </w:rPr>
          <w:tab/>
        </w:r>
        <w:r w:rsidR="002075D5" w:rsidRPr="00E21366">
          <w:rPr>
            <w:rStyle w:val="Hyperlink"/>
            <w:noProof/>
          </w:rPr>
          <w:t>Technological justification of the enzyme</w:t>
        </w:r>
        <w:r w:rsidR="002075D5">
          <w:rPr>
            <w:noProof/>
            <w:webHidden/>
          </w:rPr>
          <w:tab/>
        </w:r>
        <w:r w:rsidR="002075D5">
          <w:rPr>
            <w:noProof/>
            <w:webHidden/>
          </w:rPr>
          <w:fldChar w:fldCharType="begin"/>
        </w:r>
        <w:r w:rsidR="002075D5">
          <w:rPr>
            <w:noProof/>
            <w:webHidden/>
          </w:rPr>
          <w:instrText xml:space="preserve"> PAGEREF _Toc59030971 \h </w:instrText>
        </w:r>
        <w:r w:rsidR="002075D5">
          <w:rPr>
            <w:noProof/>
            <w:webHidden/>
          </w:rPr>
        </w:r>
        <w:r w:rsidR="002075D5">
          <w:rPr>
            <w:noProof/>
            <w:webHidden/>
          </w:rPr>
          <w:fldChar w:fldCharType="separate"/>
        </w:r>
        <w:r w:rsidR="002471A6">
          <w:rPr>
            <w:noProof/>
            <w:webHidden/>
          </w:rPr>
          <w:t>4</w:t>
        </w:r>
        <w:r w:rsidR="002075D5">
          <w:rPr>
            <w:noProof/>
            <w:webHidden/>
          </w:rPr>
          <w:fldChar w:fldCharType="end"/>
        </w:r>
      </w:hyperlink>
    </w:p>
    <w:p w14:paraId="68069E39" w14:textId="5C0BEC73"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2" w:history="1">
        <w:r w:rsidR="002075D5" w:rsidRPr="00E21366">
          <w:rPr>
            <w:rStyle w:val="Hyperlink"/>
            <w:noProof/>
          </w:rPr>
          <w:t>2.3</w:t>
        </w:r>
        <w:r w:rsidR="002075D5">
          <w:rPr>
            <w:rFonts w:eastAsiaTheme="minorEastAsia" w:cstheme="minorBidi"/>
            <w:smallCaps w:val="0"/>
            <w:noProof/>
            <w:sz w:val="22"/>
            <w:szCs w:val="22"/>
            <w:lang w:eastAsia="en-GB" w:bidi="ar-SA"/>
          </w:rPr>
          <w:tab/>
        </w:r>
        <w:r w:rsidR="002075D5" w:rsidRPr="00E21366">
          <w:rPr>
            <w:rStyle w:val="Hyperlink"/>
            <w:noProof/>
          </w:rPr>
          <w:t>Food technology conclusion</w:t>
        </w:r>
        <w:r w:rsidR="002075D5">
          <w:rPr>
            <w:noProof/>
            <w:webHidden/>
          </w:rPr>
          <w:tab/>
        </w:r>
        <w:r w:rsidR="002075D5">
          <w:rPr>
            <w:noProof/>
            <w:webHidden/>
          </w:rPr>
          <w:fldChar w:fldCharType="begin"/>
        </w:r>
        <w:r w:rsidR="002075D5">
          <w:rPr>
            <w:noProof/>
            <w:webHidden/>
          </w:rPr>
          <w:instrText xml:space="preserve"> PAGEREF _Toc59030972 \h </w:instrText>
        </w:r>
        <w:r w:rsidR="002075D5">
          <w:rPr>
            <w:noProof/>
            <w:webHidden/>
          </w:rPr>
        </w:r>
        <w:r w:rsidR="002075D5">
          <w:rPr>
            <w:noProof/>
            <w:webHidden/>
          </w:rPr>
          <w:fldChar w:fldCharType="separate"/>
        </w:r>
        <w:r w:rsidR="002471A6">
          <w:rPr>
            <w:noProof/>
            <w:webHidden/>
          </w:rPr>
          <w:t>5</w:t>
        </w:r>
        <w:r w:rsidR="002075D5">
          <w:rPr>
            <w:noProof/>
            <w:webHidden/>
          </w:rPr>
          <w:fldChar w:fldCharType="end"/>
        </w:r>
      </w:hyperlink>
    </w:p>
    <w:p w14:paraId="60F0ED50" w14:textId="161B2E4F" w:rsidR="002075D5" w:rsidRDefault="0071508C">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9030973" w:history="1">
        <w:r w:rsidR="002075D5" w:rsidRPr="00E21366">
          <w:rPr>
            <w:rStyle w:val="Hyperlink"/>
            <w:noProof/>
          </w:rPr>
          <w:t>3</w:t>
        </w:r>
        <w:r w:rsidR="002075D5">
          <w:rPr>
            <w:rFonts w:asciiTheme="minorHAnsi" w:eastAsiaTheme="minorEastAsia" w:hAnsiTheme="minorHAnsi" w:cstheme="minorBidi"/>
            <w:b w:val="0"/>
            <w:bCs w:val="0"/>
            <w:caps w:val="0"/>
            <w:noProof/>
            <w:sz w:val="22"/>
            <w:szCs w:val="22"/>
            <w:lang w:eastAsia="en-GB" w:bidi="ar-SA"/>
          </w:rPr>
          <w:tab/>
        </w:r>
        <w:r w:rsidR="002075D5" w:rsidRPr="00E21366">
          <w:rPr>
            <w:rStyle w:val="Hyperlink"/>
            <w:noProof/>
          </w:rPr>
          <w:t>Safety assessment</w:t>
        </w:r>
        <w:r w:rsidR="002075D5">
          <w:rPr>
            <w:noProof/>
            <w:webHidden/>
          </w:rPr>
          <w:tab/>
        </w:r>
        <w:r w:rsidR="002075D5">
          <w:rPr>
            <w:noProof/>
            <w:webHidden/>
          </w:rPr>
          <w:fldChar w:fldCharType="begin"/>
        </w:r>
        <w:r w:rsidR="002075D5">
          <w:rPr>
            <w:noProof/>
            <w:webHidden/>
          </w:rPr>
          <w:instrText xml:space="preserve"> PAGEREF _Toc59030973 \h </w:instrText>
        </w:r>
        <w:r w:rsidR="002075D5">
          <w:rPr>
            <w:noProof/>
            <w:webHidden/>
          </w:rPr>
        </w:r>
        <w:r w:rsidR="002075D5">
          <w:rPr>
            <w:noProof/>
            <w:webHidden/>
          </w:rPr>
          <w:fldChar w:fldCharType="separate"/>
        </w:r>
        <w:r w:rsidR="002471A6">
          <w:rPr>
            <w:noProof/>
            <w:webHidden/>
          </w:rPr>
          <w:t>5</w:t>
        </w:r>
        <w:r w:rsidR="002075D5">
          <w:rPr>
            <w:noProof/>
            <w:webHidden/>
          </w:rPr>
          <w:fldChar w:fldCharType="end"/>
        </w:r>
      </w:hyperlink>
    </w:p>
    <w:p w14:paraId="15CCF287" w14:textId="0B8B0C0C"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4" w:history="1">
        <w:r w:rsidR="002075D5" w:rsidRPr="00E21366">
          <w:rPr>
            <w:rStyle w:val="Hyperlink"/>
            <w:noProof/>
          </w:rPr>
          <w:t>3.1</w:t>
        </w:r>
        <w:r w:rsidR="002075D5">
          <w:rPr>
            <w:rFonts w:eastAsiaTheme="minorEastAsia" w:cstheme="minorBidi"/>
            <w:smallCaps w:val="0"/>
            <w:noProof/>
            <w:sz w:val="22"/>
            <w:szCs w:val="22"/>
            <w:lang w:eastAsia="en-GB" w:bidi="ar-SA"/>
          </w:rPr>
          <w:tab/>
        </w:r>
        <w:r w:rsidR="002075D5" w:rsidRPr="00E21366">
          <w:rPr>
            <w:rStyle w:val="Hyperlink"/>
            <w:noProof/>
          </w:rPr>
          <w:t>History of use</w:t>
        </w:r>
        <w:r w:rsidR="002075D5">
          <w:rPr>
            <w:noProof/>
            <w:webHidden/>
          </w:rPr>
          <w:tab/>
        </w:r>
        <w:r w:rsidR="002075D5">
          <w:rPr>
            <w:noProof/>
            <w:webHidden/>
          </w:rPr>
          <w:fldChar w:fldCharType="begin"/>
        </w:r>
        <w:r w:rsidR="002075D5">
          <w:rPr>
            <w:noProof/>
            <w:webHidden/>
          </w:rPr>
          <w:instrText xml:space="preserve"> PAGEREF _Toc59030974 \h </w:instrText>
        </w:r>
        <w:r w:rsidR="002075D5">
          <w:rPr>
            <w:noProof/>
            <w:webHidden/>
          </w:rPr>
        </w:r>
        <w:r w:rsidR="002075D5">
          <w:rPr>
            <w:noProof/>
            <w:webHidden/>
          </w:rPr>
          <w:fldChar w:fldCharType="separate"/>
        </w:r>
        <w:r w:rsidR="002471A6">
          <w:rPr>
            <w:noProof/>
            <w:webHidden/>
          </w:rPr>
          <w:t>5</w:t>
        </w:r>
        <w:r w:rsidR="002075D5">
          <w:rPr>
            <w:noProof/>
            <w:webHidden/>
          </w:rPr>
          <w:fldChar w:fldCharType="end"/>
        </w:r>
      </w:hyperlink>
    </w:p>
    <w:p w14:paraId="7280DE10" w14:textId="0E02E701"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5" w:history="1">
        <w:r w:rsidR="002075D5" w:rsidRPr="00E21366">
          <w:rPr>
            <w:rStyle w:val="Hyperlink"/>
            <w:noProof/>
          </w:rPr>
          <w:t>3.2</w:t>
        </w:r>
        <w:r w:rsidR="002075D5">
          <w:rPr>
            <w:rFonts w:eastAsiaTheme="minorEastAsia" w:cstheme="minorBidi"/>
            <w:smallCaps w:val="0"/>
            <w:noProof/>
            <w:sz w:val="22"/>
            <w:szCs w:val="22"/>
            <w:lang w:eastAsia="en-GB" w:bidi="ar-SA"/>
          </w:rPr>
          <w:tab/>
        </w:r>
        <w:r w:rsidR="002075D5" w:rsidRPr="00E21366">
          <w:rPr>
            <w:rStyle w:val="Hyperlink"/>
            <w:noProof/>
          </w:rPr>
          <w:t>Characterisation of the genetic modification(s)</w:t>
        </w:r>
        <w:r w:rsidR="002075D5">
          <w:rPr>
            <w:noProof/>
            <w:webHidden/>
          </w:rPr>
          <w:tab/>
        </w:r>
        <w:r w:rsidR="002075D5">
          <w:rPr>
            <w:noProof/>
            <w:webHidden/>
          </w:rPr>
          <w:fldChar w:fldCharType="begin"/>
        </w:r>
        <w:r w:rsidR="002075D5">
          <w:rPr>
            <w:noProof/>
            <w:webHidden/>
          </w:rPr>
          <w:instrText xml:space="preserve"> PAGEREF _Toc59030975 \h </w:instrText>
        </w:r>
        <w:r w:rsidR="002075D5">
          <w:rPr>
            <w:noProof/>
            <w:webHidden/>
          </w:rPr>
        </w:r>
        <w:r w:rsidR="002075D5">
          <w:rPr>
            <w:noProof/>
            <w:webHidden/>
          </w:rPr>
          <w:fldChar w:fldCharType="separate"/>
        </w:r>
        <w:r w:rsidR="002471A6">
          <w:rPr>
            <w:noProof/>
            <w:webHidden/>
          </w:rPr>
          <w:t>6</w:t>
        </w:r>
        <w:r w:rsidR="002075D5">
          <w:rPr>
            <w:noProof/>
            <w:webHidden/>
          </w:rPr>
          <w:fldChar w:fldCharType="end"/>
        </w:r>
      </w:hyperlink>
    </w:p>
    <w:p w14:paraId="54D3EE6B" w14:textId="31B5ED1C" w:rsidR="002075D5" w:rsidRDefault="0071508C">
      <w:pPr>
        <w:pStyle w:val="TOC2"/>
        <w:tabs>
          <w:tab w:val="left" w:pos="880"/>
          <w:tab w:val="right" w:leader="dot" w:pos="9060"/>
        </w:tabs>
        <w:rPr>
          <w:rFonts w:eastAsiaTheme="minorEastAsia" w:cstheme="minorBidi"/>
          <w:smallCaps w:val="0"/>
          <w:noProof/>
          <w:sz w:val="22"/>
          <w:szCs w:val="22"/>
          <w:lang w:eastAsia="en-GB" w:bidi="ar-SA"/>
        </w:rPr>
      </w:pPr>
      <w:hyperlink w:anchor="_Toc59030976" w:history="1">
        <w:r w:rsidR="002075D5" w:rsidRPr="00E21366">
          <w:rPr>
            <w:rStyle w:val="Hyperlink"/>
            <w:noProof/>
          </w:rPr>
          <w:t>3.3</w:t>
        </w:r>
        <w:r w:rsidR="002075D5">
          <w:rPr>
            <w:rFonts w:eastAsiaTheme="minorEastAsia" w:cstheme="minorBidi"/>
            <w:smallCaps w:val="0"/>
            <w:noProof/>
            <w:sz w:val="22"/>
            <w:szCs w:val="22"/>
            <w:lang w:eastAsia="en-GB" w:bidi="ar-SA"/>
          </w:rPr>
          <w:tab/>
        </w:r>
        <w:r w:rsidR="002075D5" w:rsidRPr="00E21366">
          <w:rPr>
            <w:rStyle w:val="Hyperlink"/>
            <w:noProof/>
          </w:rPr>
          <w:t xml:space="preserve">Safety of </w:t>
        </w:r>
        <w:r w:rsidR="002075D5" w:rsidRPr="00E21366">
          <w:rPr>
            <w:rStyle w:val="Hyperlink"/>
            <w:rFonts w:ascii="CIDFont+F1" w:eastAsia="Calibri" w:hAnsi="CIDFont+F1" w:cs="CIDFont+F1"/>
            <w:noProof/>
          </w:rPr>
          <w:t>maltogenic alpha amylase</w:t>
        </w:r>
        <w:r w:rsidR="002075D5">
          <w:rPr>
            <w:noProof/>
            <w:webHidden/>
          </w:rPr>
          <w:tab/>
        </w:r>
        <w:r w:rsidR="002075D5">
          <w:rPr>
            <w:noProof/>
            <w:webHidden/>
          </w:rPr>
          <w:fldChar w:fldCharType="begin"/>
        </w:r>
        <w:r w:rsidR="002075D5">
          <w:rPr>
            <w:noProof/>
            <w:webHidden/>
          </w:rPr>
          <w:instrText xml:space="preserve"> PAGEREF _Toc59030976 \h </w:instrText>
        </w:r>
        <w:r w:rsidR="002075D5">
          <w:rPr>
            <w:noProof/>
            <w:webHidden/>
          </w:rPr>
        </w:r>
        <w:r w:rsidR="002075D5">
          <w:rPr>
            <w:noProof/>
            <w:webHidden/>
          </w:rPr>
          <w:fldChar w:fldCharType="separate"/>
        </w:r>
        <w:r w:rsidR="002471A6">
          <w:rPr>
            <w:noProof/>
            <w:webHidden/>
          </w:rPr>
          <w:t>6</w:t>
        </w:r>
        <w:r w:rsidR="002075D5">
          <w:rPr>
            <w:noProof/>
            <w:webHidden/>
          </w:rPr>
          <w:fldChar w:fldCharType="end"/>
        </w:r>
      </w:hyperlink>
    </w:p>
    <w:p w14:paraId="616E5A35" w14:textId="28B56847" w:rsidR="002075D5" w:rsidRDefault="0071508C">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9030977" w:history="1">
        <w:r w:rsidR="002075D5" w:rsidRPr="00E21366">
          <w:rPr>
            <w:rStyle w:val="Hyperlink"/>
            <w:noProof/>
          </w:rPr>
          <w:t xml:space="preserve">4 </w:t>
        </w:r>
        <w:r w:rsidR="002075D5">
          <w:rPr>
            <w:rFonts w:asciiTheme="minorHAnsi" w:eastAsiaTheme="minorEastAsia" w:hAnsiTheme="minorHAnsi" w:cstheme="minorBidi"/>
            <w:b w:val="0"/>
            <w:bCs w:val="0"/>
            <w:caps w:val="0"/>
            <w:noProof/>
            <w:sz w:val="22"/>
            <w:szCs w:val="22"/>
            <w:lang w:eastAsia="en-GB" w:bidi="ar-SA"/>
          </w:rPr>
          <w:tab/>
        </w:r>
        <w:r w:rsidR="002075D5" w:rsidRPr="00E21366">
          <w:rPr>
            <w:rStyle w:val="Hyperlink"/>
            <w:noProof/>
          </w:rPr>
          <w:t>Conclusions</w:t>
        </w:r>
        <w:r w:rsidR="002075D5">
          <w:rPr>
            <w:noProof/>
            <w:webHidden/>
          </w:rPr>
          <w:tab/>
        </w:r>
        <w:r w:rsidR="002075D5">
          <w:rPr>
            <w:noProof/>
            <w:webHidden/>
          </w:rPr>
          <w:fldChar w:fldCharType="begin"/>
        </w:r>
        <w:r w:rsidR="002075D5">
          <w:rPr>
            <w:noProof/>
            <w:webHidden/>
          </w:rPr>
          <w:instrText xml:space="preserve"> PAGEREF _Toc59030977 \h </w:instrText>
        </w:r>
        <w:r w:rsidR="002075D5">
          <w:rPr>
            <w:noProof/>
            <w:webHidden/>
          </w:rPr>
        </w:r>
        <w:r w:rsidR="002075D5">
          <w:rPr>
            <w:noProof/>
            <w:webHidden/>
          </w:rPr>
          <w:fldChar w:fldCharType="separate"/>
        </w:r>
        <w:r w:rsidR="002471A6">
          <w:rPr>
            <w:noProof/>
            <w:webHidden/>
          </w:rPr>
          <w:t>9</w:t>
        </w:r>
        <w:r w:rsidR="002075D5">
          <w:rPr>
            <w:noProof/>
            <w:webHidden/>
          </w:rPr>
          <w:fldChar w:fldCharType="end"/>
        </w:r>
      </w:hyperlink>
    </w:p>
    <w:p w14:paraId="61878D33" w14:textId="25C0BF55" w:rsidR="002075D5" w:rsidRDefault="0071508C">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9030978" w:history="1">
        <w:r w:rsidR="002075D5" w:rsidRPr="00E21366">
          <w:rPr>
            <w:rStyle w:val="Hyperlink"/>
            <w:noProof/>
          </w:rPr>
          <w:t xml:space="preserve">5 </w:t>
        </w:r>
        <w:r w:rsidR="002075D5">
          <w:rPr>
            <w:rFonts w:asciiTheme="minorHAnsi" w:eastAsiaTheme="minorEastAsia" w:hAnsiTheme="minorHAnsi" w:cstheme="minorBidi"/>
            <w:b w:val="0"/>
            <w:bCs w:val="0"/>
            <w:caps w:val="0"/>
            <w:noProof/>
            <w:sz w:val="22"/>
            <w:szCs w:val="22"/>
            <w:lang w:eastAsia="en-GB" w:bidi="ar-SA"/>
          </w:rPr>
          <w:tab/>
        </w:r>
        <w:r w:rsidR="002075D5" w:rsidRPr="00E21366">
          <w:rPr>
            <w:rStyle w:val="Hyperlink"/>
            <w:noProof/>
          </w:rPr>
          <w:t>References</w:t>
        </w:r>
        <w:r w:rsidR="002075D5">
          <w:rPr>
            <w:noProof/>
            <w:webHidden/>
          </w:rPr>
          <w:tab/>
        </w:r>
        <w:r w:rsidR="002075D5">
          <w:rPr>
            <w:noProof/>
            <w:webHidden/>
          </w:rPr>
          <w:fldChar w:fldCharType="begin"/>
        </w:r>
        <w:r w:rsidR="002075D5">
          <w:rPr>
            <w:noProof/>
            <w:webHidden/>
          </w:rPr>
          <w:instrText xml:space="preserve"> PAGEREF _Toc59030978 \h </w:instrText>
        </w:r>
        <w:r w:rsidR="002075D5">
          <w:rPr>
            <w:noProof/>
            <w:webHidden/>
          </w:rPr>
        </w:r>
        <w:r w:rsidR="002075D5">
          <w:rPr>
            <w:noProof/>
            <w:webHidden/>
          </w:rPr>
          <w:fldChar w:fldCharType="separate"/>
        </w:r>
        <w:r w:rsidR="002471A6">
          <w:rPr>
            <w:noProof/>
            <w:webHidden/>
          </w:rPr>
          <w:t>11</w:t>
        </w:r>
        <w:r w:rsidR="002075D5">
          <w:rPr>
            <w:noProof/>
            <w:webHidden/>
          </w:rPr>
          <w:fldChar w:fldCharType="end"/>
        </w:r>
      </w:hyperlink>
    </w:p>
    <w:p w14:paraId="61A5A49E" w14:textId="41254F25" w:rsidR="00562917" w:rsidRDefault="00C77E95" w:rsidP="00C77E95">
      <w:pPr>
        <w:pStyle w:val="TOC1"/>
        <w:tabs>
          <w:tab w:val="right" w:leader="dot" w:pos="9060"/>
        </w:tabs>
      </w:pPr>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59030965"/>
      <w:r>
        <w:lastRenderedPageBreak/>
        <w:t xml:space="preserve">1 </w:t>
      </w:r>
      <w:r w:rsidR="00D410BF">
        <w:tab/>
      </w:r>
      <w:r>
        <w:t>Introduction</w:t>
      </w:r>
      <w:bookmarkEnd w:id="4"/>
      <w:bookmarkEnd w:id="5"/>
    </w:p>
    <w:p w14:paraId="632D2DE0" w14:textId="50D9986A" w:rsidR="00F24253" w:rsidRPr="00661CF6" w:rsidRDefault="00336B25" w:rsidP="00F24253">
      <w:bookmarkStart w:id="6" w:name="_Toc501699817"/>
      <w:bookmarkEnd w:id="6"/>
      <w:r>
        <w:t>Lallemand Baking Solutions has</w:t>
      </w:r>
      <w:r w:rsidRPr="0030664C" w:rsidDel="0030664C">
        <w:t xml:space="preserve"> </w:t>
      </w:r>
      <w:r>
        <w:t>applied to FSANZ</w:t>
      </w:r>
      <w:r w:rsidR="00D51D98">
        <w:t>,</w:t>
      </w:r>
      <w:r>
        <w:t xml:space="preserve"> seeking permission </w:t>
      </w:r>
      <w:r w:rsidR="00D51D98">
        <w:t>for</w:t>
      </w:r>
      <w:r>
        <w:t xml:space="preserve"> use </w:t>
      </w:r>
      <w:r w:rsidR="00D51D98">
        <w:t xml:space="preserve">of a new source of </w:t>
      </w:r>
      <w:r w:rsidR="00F24253">
        <w:t>maltogenic</w:t>
      </w:r>
      <w:r>
        <w:t xml:space="preserve"> alpha-amylase (EC 3.2.1.1</w:t>
      </w:r>
      <w:r w:rsidR="00F24253">
        <w:t>33</w:t>
      </w:r>
      <w:r>
        <w:t xml:space="preserve">) </w:t>
      </w:r>
      <w:r w:rsidRPr="00CA52E1">
        <w:t xml:space="preserve">as a processing aid in </w:t>
      </w:r>
      <w:r w:rsidR="00F24253">
        <w:t>baking</w:t>
      </w:r>
      <w:r>
        <w:t xml:space="preserve">. </w:t>
      </w:r>
      <w:r w:rsidR="00F24253">
        <w:t xml:space="preserve">This enzyme is produced by a genetically modified strain of </w:t>
      </w:r>
      <w:r w:rsidR="00F24253" w:rsidRPr="00661CF6">
        <w:rPr>
          <w:i/>
        </w:rPr>
        <w:t>Saccharomyces cerevisiae</w:t>
      </w:r>
      <w:r w:rsidR="00F24253">
        <w:t xml:space="preserve"> expressing a protein engineered variant of the maltogenic alpha-amylase gene from </w:t>
      </w:r>
      <w:r w:rsidR="00F24253" w:rsidRPr="00413958">
        <w:rPr>
          <w:i/>
        </w:rPr>
        <w:t>Geobacillus stearothermophilus</w:t>
      </w:r>
      <w:r w:rsidR="00F24253">
        <w:t xml:space="preserve">. The </w:t>
      </w:r>
      <w:r w:rsidR="00D51D98">
        <w:t>protein engineered variant</w:t>
      </w:r>
      <w:r w:rsidR="00F24253">
        <w:t xml:space="preserve"> confer</w:t>
      </w:r>
      <w:r w:rsidR="00D51D98">
        <w:t>s</w:t>
      </w:r>
      <w:r w:rsidR="00F24253">
        <w:t xml:space="preserve"> improved thermostability of the enzyme for baking purposes.</w:t>
      </w:r>
    </w:p>
    <w:p w14:paraId="6A115705" w14:textId="77777777" w:rsidR="00F24253" w:rsidRDefault="00F24253" w:rsidP="00F24253">
      <w:r>
        <w:t xml:space="preserve"> </w:t>
      </w:r>
    </w:p>
    <w:p w14:paraId="23139B27" w14:textId="191B2003" w:rsidR="007C0171" w:rsidRDefault="00F24253" w:rsidP="00D51D98">
      <w:r>
        <w:t xml:space="preserve">The </w:t>
      </w:r>
      <w:r w:rsidR="00D51D98">
        <w:t xml:space="preserve">function of the </w:t>
      </w:r>
      <w:r>
        <w:t xml:space="preserve">enzyme </w:t>
      </w:r>
      <w:r w:rsidR="00D51D98">
        <w:t xml:space="preserve">is to </w:t>
      </w:r>
      <w:r>
        <w:t>catalyse the hydrolysis of starch polysaccharides in dough during the baking proces</w:t>
      </w:r>
      <w:r w:rsidRPr="00D51D98">
        <w:t>s</w:t>
      </w:r>
      <w:r w:rsidR="00D51D98" w:rsidRPr="00D51D98">
        <w:t>,</w:t>
      </w:r>
      <w:r w:rsidR="00336B25" w:rsidRPr="00D51D98">
        <w:t xml:space="preserve"> </w:t>
      </w:r>
      <w:r w:rsidR="00D51D98" w:rsidRPr="00D51D98">
        <w:t>r</w:t>
      </w:r>
      <w:r w:rsidR="00D51D98">
        <w:t>educing</w:t>
      </w:r>
      <w:r w:rsidRPr="008D16C4">
        <w:t xml:space="preserve"> crumb firmness and staling</w:t>
      </w:r>
      <w:r>
        <w:t xml:space="preserve">. </w:t>
      </w:r>
      <w:r w:rsidR="00D51D98">
        <w:t>If permitted following a</w:t>
      </w:r>
      <w:r w:rsidR="00D51D98" w:rsidRPr="0030664C">
        <w:t xml:space="preserve"> pre-market assessment</w:t>
      </w:r>
      <w:r w:rsidR="00D51D98">
        <w:t>, the maltogenic alpha-amylase will provide an additional option for manufacturers of baked products.</w:t>
      </w:r>
    </w:p>
    <w:p w14:paraId="785134BB" w14:textId="50F0FDE0" w:rsidR="00661CF6" w:rsidRDefault="00661CF6" w:rsidP="00497A62"/>
    <w:p w14:paraId="63BE092B" w14:textId="14C70514" w:rsidR="001E6A7B" w:rsidRDefault="00340EB7" w:rsidP="00BD59CB">
      <w:pPr>
        <w:pStyle w:val="Heading2"/>
      </w:pPr>
      <w:bookmarkStart w:id="7" w:name="_Toc59030966"/>
      <w:r>
        <w:t>1.1</w:t>
      </w:r>
      <w:r>
        <w:tab/>
      </w:r>
      <w:r w:rsidR="001E6A7B" w:rsidRPr="00D410BF">
        <w:t>Objectives</w:t>
      </w:r>
      <w:r w:rsidR="001E6A7B">
        <w:t xml:space="preserve"> of the assessment</w:t>
      </w:r>
      <w:bookmarkEnd w:id="7"/>
    </w:p>
    <w:p w14:paraId="739A9693" w14:textId="0B4A0950" w:rsidR="00D410BF" w:rsidRPr="00B659CB" w:rsidRDefault="00D410BF" w:rsidP="00D410BF">
      <w:r w:rsidRPr="00B659CB">
        <w:t xml:space="preserve">The objectives of this </w:t>
      </w:r>
      <w:r w:rsidR="005D1598">
        <w:t>Risk and Technical A</w:t>
      </w:r>
      <w:r w:rsidR="005D1598" w:rsidRPr="00B659CB">
        <w:t xml:space="preserve">ssessment </w:t>
      </w:r>
      <w:r>
        <w:t xml:space="preserve">for </w:t>
      </w:r>
      <w:r w:rsidR="00250F95">
        <w:t>m</w:t>
      </w:r>
      <w:r w:rsidR="00250F95" w:rsidRPr="00250F95">
        <w:t xml:space="preserve">altogenic alpha amylase </w:t>
      </w:r>
      <w:r w:rsidRPr="00B659CB">
        <w:t>were to:</w:t>
      </w:r>
    </w:p>
    <w:p w14:paraId="0C8F7041" w14:textId="77777777" w:rsidR="00D410BF" w:rsidRPr="00B659CB" w:rsidRDefault="00D410BF" w:rsidP="00D410BF"/>
    <w:p w14:paraId="75D221FC" w14:textId="77777777" w:rsidR="00D410BF" w:rsidRDefault="00D410BF" w:rsidP="00D410BF">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196EBF7A" w14:textId="77777777" w:rsidR="00D410BF" w:rsidRPr="00B659CB" w:rsidRDefault="00D410BF" w:rsidP="00D410BF">
      <w:pPr>
        <w:pStyle w:val="ListParagraph"/>
        <w:ind w:left="930"/>
      </w:pPr>
    </w:p>
    <w:p w14:paraId="48B479C5" w14:textId="293E18CC" w:rsidR="00D410BF" w:rsidRDefault="00D410BF" w:rsidP="00D410BF">
      <w:pPr>
        <w:pStyle w:val="FSBullet1"/>
      </w:pPr>
      <w:r w:rsidRPr="00B659CB">
        <w:t xml:space="preserve">evaluate any potential public health and safety </w:t>
      </w:r>
      <w:r>
        <w:t>issues</w:t>
      </w:r>
      <w:r w:rsidRPr="00B659CB">
        <w:t xml:space="preserve"> that may arise from the use of </w:t>
      </w:r>
      <w:r>
        <w:t>this enzyme protein, produced by</w:t>
      </w:r>
      <w:r w:rsidRPr="00B659CB">
        <w:t xml:space="preserve"> </w:t>
      </w:r>
      <w:r>
        <w:t xml:space="preserve">a </w:t>
      </w:r>
      <w:r w:rsidR="0055568B">
        <w:t>GM</w:t>
      </w:r>
      <w:r>
        <w:t xml:space="preserve"> organism </w:t>
      </w:r>
      <w:r w:rsidRPr="00B659CB">
        <w:t>as a processing aid.</w:t>
      </w:r>
      <w:r>
        <w:t xml:space="preserve"> Specifically by considering the:</w:t>
      </w:r>
    </w:p>
    <w:p w14:paraId="4EB05B39" w14:textId="77777777" w:rsidR="00D410BF" w:rsidRDefault="00D410BF" w:rsidP="00D410BF"/>
    <w:p w14:paraId="5EA87FAF" w14:textId="77777777" w:rsidR="00D410BF" w:rsidRDefault="00D410BF" w:rsidP="00D410BF">
      <w:pPr>
        <w:pStyle w:val="FSBullet2"/>
      </w:pPr>
      <w:r w:rsidRPr="00F853CC">
        <w:t>history of us</w:t>
      </w:r>
      <w:r>
        <w:t>e of the host and gene donor organisms</w:t>
      </w:r>
    </w:p>
    <w:p w14:paraId="01373E96" w14:textId="77777777" w:rsidR="00D410BF" w:rsidRPr="00460133" w:rsidRDefault="00D410BF" w:rsidP="00D410BF">
      <w:pPr>
        <w:pStyle w:val="FSBullet2"/>
      </w:pPr>
      <w:r>
        <w:t>characterisation of the genetic modification(s), and</w:t>
      </w:r>
    </w:p>
    <w:p w14:paraId="3F68A415" w14:textId="77777777" w:rsidR="00D410BF" w:rsidRDefault="00D410BF" w:rsidP="00D410BF">
      <w:pPr>
        <w:pStyle w:val="FSBullet2"/>
      </w:pPr>
      <w:r>
        <w:t>safety of the enzyme protein.</w:t>
      </w:r>
    </w:p>
    <w:p w14:paraId="5767146C" w14:textId="1C2F71F6" w:rsidR="001E6A7B" w:rsidRDefault="001E6A7B" w:rsidP="000A14E9">
      <w:pPr>
        <w:pStyle w:val="Heading1"/>
        <w:ind w:left="567" w:hanging="567"/>
      </w:pPr>
      <w:bookmarkStart w:id="8" w:name="_Toc59030967"/>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59030968"/>
      <w:r>
        <w:t>2.1</w:t>
      </w:r>
      <w:r>
        <w:tab/>
        <w:t>Characterisation of the enzyme</w:t>
      </w:r>
      <w:bookmarkEnd w:id="9"/>
      <w:bookmarkEnd w:id="10"/>
      <w:bookmarkEnd w:id="11"/>
    </w:p>
    <w:p w14:paraId="6D257B39" w14:textId="49DD944E" w:rsidR="001E6A7B" w:rsidRPr="009925D0" w:rsidRDefault="001E6A7B" w:rsidP="009925D0">
      <w:pPr>
        <w:pStyle w:val="Heading3"/>
      </w:pPr>
      <w:r w:rsidRPr="009925D0">
        <w:t>2.1.1</w:t>
      </w:r>
      <w:r w:rsidRPr="009925D0">
        <w:tab/>
        <w:t xml:space="preserve">Identity </w:t>
      </w:r>
      <w:r w:rsidR="008662BB" w:rsidRPr="009925D0">
        <w:t xml:space="preserve">and properties </w:t>
      </w:r>
      <w:r w:rsidRPr="009925D0">
        <w:t>of the enzyme</w:t>
      </w:r>
    </w:p>
    <w:p w14:paraId="2F5612FF" w14:textId="4356D7CB" w:rsidR="000C4E5F" w:rsidRDefault="001426F6" w:rsidP="000C4E5F">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 xml:space="preserve">The production microorganism of the enzyme is a GM </w:t>
      </w:r>
      <w:r w:rsidR="00D07D3F">
        <w:rPr>
          <w:rFonts w:ascii="CIDFont+F1" w:eastAsia="Calibri" w:hAnsi="CIDFont+F1" w:cs="CIDFont+F1"/>
          <w:szCs w:val="22"/>
          <w:lang w:bidi="ar-SA"/>
        </w:rPr>
        <w:t xml:space="preserve">strain of </w:t>
      </w:r>
      <w:r w:rsidR="00250F95">
        <w:rPr>
          <w:rFonts w:ascii="CIDFont+F1" w:eastAsia="Calibri" w:hAnsi="CIDFont+F1" w:cs="CIDFont+F1"/>
          <w:i/>
          <w:szCs w:val="22"/>
          <w:lang w:bidi="ar-SA"/>
        </w:rPr>
        <w:t>S. cerevisiae</w:t>
      </w:r>
      <w:r w:rsidR="007C53AD">
        <w:rPr>
          <w:rFonts w:ascii="CIDFont+F1" w:eastAsia="Calibri" w:hAnsi="CIDFont+F1" w:cs="CIDFont+F1"/>
          <w:szCs w:val="22"/>
          <w:lang w:bidi="ar-SA"/>
        </w:rPr>
        <w:t xml:space="preserve">. The donor microorganism of the </w:t>
      </w:r>
      <w:r w:rsidR="00250F95">
        <w:rPr>
          <w:rFonts w:ascii="CIDFont+F1" w:eastAsia="Calibri" w:hAnsi="CIDFont+F1" w:cs="CIDFont+F1"/>
          <w:szCs w:val="22"/>
          <w:lang w:bidi="ar-SA"/>
        </w:rPr>
        <w:t>maltogenic alpha amylase</w:t>
      </w:r>
      <w:r w:rsidR="007C53AD">
        <w:t xml:space="preserve"> gene is </w:t>
      </w:r>
      <w:r w:rsidR="00250F95">
        <w:rPr>
          <w:i/>
        </w:rPr>
        <w:t>G. stearothermophilus</w:t>
      </w:r>
      <w:r w:rsidR="007C53AD">
        <w:rPr>
          <w:i/>
        </w:rPr>
        <w:t xml:space="preserve"> </w:t>
      </w:r>
      <w:r w:rsidR="007C53AD" w:rsidRPr="007C53AD">
        <w:t>(</w:t>
      </w:r>
      <w:r w:rsidR="00A8082B">
        <w:t>see</w:t>
      </w:r>
      <w:r w:rsidR="007C53AD">
        <w:t xml:space="preserve"> </w:t>
      </w:r>
      <w:r w:rsidR="00A8082B">
        <w:t>S</w:t>
      </w:r>
      <w:r w:rsidR="007C53AD" w:rsidRPr="007C53AD">
        <w:t>ection 3)</w:t>
      </w:r>
      <w:r w:rsidR="007C53AD">
        <w:rPr>
          <w:rFonts w:ascii="CIDFont+F1" w:eastAsia="Calibri" w:hAnsi="CIDFont+F1" w:cs="CIDFont+F1"/>
          <w:szCs w:val="22"/>
          <w:lang w:bidi="ar-SA"/>
        </w:rPr>
        <w:t xml:space="preserve">. </w:t>
      </w:r>
    </w:p>
    <w:p w14:paraId="7BF480D5" w14:textId="55BE6588" w:rsidR="00C76BC6" w:rsidRDefault="00C76BC6" w:rsidP="000C4E5F">
      <w:pPr>
        <w:widowControl/>
        <w:autoSpaceDE w:val="0"/>
        <w:autoSpaceDN w:val="0"/>
        <w:adjustRightInd w:val="0"/>
        <w:rPr>
          <w:rFonts w:ascii="CIDFont+F1" w:eastAsia="Calibri" w:hAnsi="CIDFont+F1" w:cs="CIDFont+F1"/>
          <w:szCs w:val="22"/>
          <w:lang w:bidi="ar-SA"/>
        </w:rPr>
      </w:pPr>
    </w:p>
    <w:p w14:paraId="044A06EC" w14:textId="67AB78AD" w:rsidR="00C76BC6" w:rsidRDefault="00C76BC6" w:rsidP="000C4E5F">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Details of the identity of the enzyme are provided in Table 1.</w:t>
      </w:r>
    </w:p>
    <w:p w14:paraId="7C1E1B51" w14:textId="367AF311" w:rsidR="00C76BC6" w:rsidRDefault="00C76BC6" w:rsidP="000C4E5F">
      <w:pPr>
        <w:widowControl/>
        <w:autoSpaceDE w:val="0"/>
        <w:autoSpaceDN w:val="0"/>
        <w:adjustRightInd w:val="0"/>
        <w:rPr>
          <w:rFonts w:ascii="CIDFont+F1" w:eastAsia="Calibri" w:hAnsi="CIDFont+F1" w:cs="CIDFont+F1"/>
          <w:szCs w:val="22"/>
          <w:lang w:bidi="ar-SA"/>
        </w:rPr>
      </w:pPr>
    </w:p>
    <w:p w14:paraId="25CBB46F" w14:textId="6521BEB5" w:rsidR="00C76BC6" w:rsidRPr="000C4E5F" w:rsidRDefault="00C76BC6" w:rsidP="0027300B">
      <w:pPr>
        <w:pStyle w:val="FSTableTitle"/>
        <w:ind w:left="142"/>
        <w:rPr>
          <w:rFonts w:eastAsia="Calibri"/>
          <w:lang w:bidi="ar-SA"/>
        </w:rPr>
      </w:pPr>
      <w:r>
        <w:rPr>
          <w:rFonts w:eastAsia="Calibri"/>
          <w:lang w:bidi="ar-SA"/>
        </w:rPr>
        <w:lastRenderedPageBreak/>
        <w:t>Table 1</w:t>
      </w:r>
      <w:r w:rsidR="0027300B">
        <w:rPr>
          <w:rFonts w:eastAsia="Calibri"/>
          <w:lang w:bidi="ar-SA"/>
        </w:rPr>
        <w:t xml:space="preserve">: </w:t>
      </w:r>
      <w:r>
        <w:rPr>
          <w:rFonts w:eastAsia="Calibri"/>
          <w:lang w:bidi="ar-SA"/>
        </w:rPr>
        <w:t xml:space="preserve">Identity and relevant details of the enzyme </w:t>
      </w:r>
      <w:r>
        <w:t>maltogenic alpha-amylase</w:t>
      </w:r>
    </w:p>
    <w:p w14:paraId="142384E6" w14:textId="77777777" w:rsidR="000C4E5F" w:rsidRPr="000C4E5F" w:rsidRDefault="000C4E5F" w:rsidP="000C4E5F"/>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List of the identity and relevant details of the enzyme maltogenic alpha-amylase"/>
      </w:tblPr>
      <w:tblGrid>
        <w:gridCol w:w="3119"/>
        <w:gridCol w:w="5941"/>
      </w:tblGrid>
      <w:tr w:rsidR="000C4E5F" w:rsidRPr="000C4E5F" w14:paraId="60425596" w14:textId="77777777" w:rsidTr="00551114">
        <w:tc>
          <w:tcPr>
            <w:tcW w:w="3119" w:type="dxa"/>
          </w:tcPr>
          <w:p w14:paraId="31AE313D" w14:textId="77777777" w:rsidR="000C4E5F" w:rsidRPr="000C4E5F" w:rsidRDefault="000C4E5F" w:rsidP="000C4E5F">
            <w:pPr>
              <w:spacing w:before="120" w:after="120"/>
              <w:rPr>
                <w:b/>
                <w:i/>
              </w:rPr>
            </w:pPr>
            <w:r w:rsidRPr="000C4E5F">
              <w:rPr>
                <w:b/>
                <w:i/>
              </w:rPr>
              <w:t>Generic common name:</w:t>
            </w:r>
          </w:p>
        </w:tc>
        <w:tc>
          <w:tcPr>
            <w:tcW w:w="5941" w:type="dxa"/>
          </w:tcPr>
          <w:p w14:paraId="02A3C828" w14:textId="21220B22" w:rsidR="000C4E5F" w:rsidRPr="000C4E5F" w:rsidRDefault="00250F95" w:rsidP="009925D0">
            <w:pPr>
              <w:spacing w:before="120" w:after="120"/>
            </w:pPr>
            <w:r>
              <w:rPr>
                <w:rFonts w:ascii="CIDFont+F1" w:hAnsi="CIDFont+F1" w:cs="CIDFont+F1"/>
                <w:szCs w:val="22"/>
                <w:lang w:bidi="ar-SA"/>
              </w:rPr>
              <w:t>Maltogenic alpha</w:t>
            </w:r>
            <w:r w:rsidR="009925D0">
              <w:rPr>
                <w:rFonts w:ascii="CIDFont+F1" w:hAnsi="CIDFont+F1" w:cs="CIDFont+F1"/>
                <w:szCs w:val="22"/>
                <w:lang w:bidi="ar-SA"/>
              </w:rPr>
              <w:t>-</w:t>
            </w:r>
            <w:r>
              <w:rPr>
                <w:rFonts w:ascii="CIDFont+F1" w:hAnsi="CIDFont+F1" w:cs="CIDFont+F1"/>
                <w:szCs w:val="22"/>
                <w:lang w:bidi="ar-SA"/>
              </w:rPr>
              <w:t>amylase</w:t>
            </w:r>
          </w:p>
        </w:tc>
      </w:tr>
      <w:tr w:rsidR="000C4E5F" w:rsidRPr="000C4E5F" w14:paraId="164C8A0D" w14:textId="77777777" w:rsidTr="00551114">
        <w:tc>
          <w:tcPr>
            <w:tcW w:w="3119" w:type="dxa"/>
          </w:tcPr>
          <w:p w14:paraId="6BDA3807" w14:textId="77777777" w:rsidR="000C4E5F" w:rsidRPr="000C4E5F" w:rsidRDefault="000C4E5F" w:rsidP="000C4E5F">
            <w:pPr>
              <w:spacing w:before="120" w:after="120"/>
              <w:rPr>
                <w:b/>
                <w:i/>
              </w:rPr>
            </w:pPr>
            <w:r w:rsidRPr="000C4E5F">
              <w:rPr>
                <w:b/>
                <w:i/>
              </w:rPr>
              <w:t>Accepted IUBMB</w:t>
            </w:r>
            <w:r w:rsidRPr="000C4E5F">
              <w:rPr>
                <w:b/>
                <w:i/>
                <w:vertAlign w:val="superscript"/>
              </w:rPr>
              <w:footnoteReference w:id="2"/>
            </w:r>
            <w:r w:rsidRPr="000C4E5F">
              <w:rPr>
                <w:b/>
                <w:i/>
              </w:rPr>
              <w:t xml:space="preserve"> name:</w:t>
            </w:r>
          </w:p>
        </w:tc>
        <w:tc>
          <w:tcPr>
            <w:tcW w:w="5941" w:type="dxa"/>
          </w:tcPr>
          <w:p w14:paraId="2DA461E6" w14:textId="396E2C1B" w:rsidR="000C4E5F" w:rsidRPr="000C4E5F" w:rsidRDefault="009925D0" w:rsidP="000C4E5F">
            <w:pPr>
              <w:spacing w:before="120" w:after="120"/>
            </w:pPr>
            <w:r>
              <w:t>Glucan 1,4-alpha-maltohydrolase</w:t>
            </w:r>
          </w:p>
        </w:tc>
      </w:tr>
      <w:tr w:rsidR="000C4E5F" w:rsidRPr="000C4E5F" w14:paraId="6EDFBFCF" w14:textId="77777777" w:rsidTr="00551114">
        <w:tc>
          <w:tcPr>
            <w:tcW w:w="3119" w:type="dxa"/>
          </w:tcPr>
          <w:p w14:paraId="1158D1DE" w14:textId="77777777" w:rsidR="000C4E5F" w:rsidRPr="000C4E5F" w:rsidRDefault="000C4E5F" w:rsidP="000C4E5F">
            <w:pPr>
              <w:spacing w:before="120" w:after="120"/>
              <w:rPr>
                <w:b/>
                <w:i/>
              </w:rPr>
            </w:pPr>
            <w:r w:rsidRPr="000C4E5F">
              <w:rPr>
                <w:b/>
                <w:i/>
              </w:rPr>
              <w:t>Systematic name:</w:t>
            </w:r>
          </w:p>
        </w:tc>
        <w:tc>
          <w:tcPr>
            <w:tcW w:w="5941" w:type="dxa"/>
          </w:tcPr>
          <w:p w14:paraId="1777ED85" w14:textId="5CA7E992" w:rsidR="000C4E5F" w:rsidRPr="000C4E5F" w:rsidRDefault="009925D0" w:rsidP="000C4E5F">
            <w:pPr>
              <w:spacing w:before="120" w:after="120"/>
            </w:pPr>
            <w:r>
              <w:t>4-alpha</w:t>
            </w:r>
            <w:r w:rsidR="009856AD">
              <w:t>-D-glucan alpha-maltohydrolase</w:t>
            </w:r>
          </w:p>
        </w:tc>
      </w:tr>
      <w:tr w:rsidR="000C4E5F" w:rsidRPr="000C4E5F" w14:paraId="53F757C9" w14:textId="77777777" w:rsidTr="00551114">
        <w:tc>
          <w:tcPr>
            <w:tcW w:w="3119" w:type="dxa"/>
          </w:tcPr>
          <w:p w14:paraId="1A62430B" w14:textId="250CC674" w:rsidR="000C4E5F" w:rsidRPr="000C4E5F" w:rsidRDefault="000C4E5F" w:rsidP="000C4E5F">
            <w:pPr>
              <w:spacing w:before="120" w:after="120"/>
              <w:rPr>
                <w:b/>
                <w:i/>
              </w:rPr>
            </w:pPr>
            <w:r w:rsidRPr="000C4E5F">
              <w:rPr>
                <w:b/>
                <w:i/>
              </w:rPr>
              <w:t>EC number:</w:t>
            </w:r>
            <w:r w:rsidRPr="000C4E5F">
              <w:rPr>
                <w:b/>
                <w:i/>
              </w:rPr>
              <w:tab/>
            </w:r>
          </w:p>
        </w:tc>
        <w:tc>
          <w:tcPr>
            <w:tcW w:w="5941" w:type="dxa"/>
          </w:tcPr>
          <w:p w14:paraId="46B2C9DF" w14:textId="4DEE476F" w:rsidR="000C4E5F" w:rsidRPr="000C4E5F" w:rsidRDefault="000C4E5F" w:rsidP="00250F95">
            <w:pPr>
              <w:spacing w:before="120" w:after="120"/>
            </w:pPr>
            <w:r w:rsidRPr="000C4E5F">
              <w:t>3.2.1.</w:t>
            </w:r>
            <w:r w:rsidR="00250F95">
              <w:t>133</w:t>
            </w:r>
          </w:p>
        </w:tc>
      </w:tr>
      <w:tr w:rsidR="000C4E5F" w:rsidRPr="000C4E5F" w14:paraId="27D44293" w14:textId="77777777" w:rsidTr="00551114">
        <w:tc>
          <w:tcPr>
            <w:tcW w:w="3119" w:type="dxa"/>
          </w:tcPr>
          <w:p w14:paraId="52EFA9D0" w14:textId="77777777" w:rsidR="000C4E5F" w:rsidRPr="000C4E5F" w:rsidRDefault="000C4E5F" w:rsidP="000C4E5F">
            <w:pPr>
              <w:spacing w:before="120" w:after="120"/>
              <w:rPr>
                <w:b/>
                <w:i/>
              </w:rPr>
            </w:pPr>
            <w:r w:rsidRPr="000C4E5F">
              <w:rPr>
                <w:b/>
                <w:i/>
              </w:rPr>
              <w:t>CAS</w:t>
            </w:r>
            <w:r w:rsidRPr="000C4E5F">
              <w:rPr>
                <w:b/>
                <w:i/>
                <w:vertAlign w:val="superscript"/>
              </w:rPr>
              <w:footnoteReference w:id="3"/>
            </w:r>
            <w:r w:rsidRPr="000C4E5F">
              <w:rPr>
                <w:b/>
                <w:i/>
              </w:rPr>
              <w:t xml:space="preserve"> registry number:</w:t>
            </w:r>
          </w:p>
        </w:tc>
        <w:tc>
          <w:tcPr>
            <w:tcW w:w="5941" w:type="dxa"/>
          </w:tcPr>
          <w:p w14:paraId="4F526AB3" w14:textId="1DE46588" w:rsidR="000C4E5F" w:rsidRPr="000C4E5F" w:rsidRDefault="009856AD" w:rsidP="000C4E5F">
            <w:pPr>
              <w:spacing w:before="120" w:after="120"/>
            </w:pPr>
            <w:r>
              <w:t>160611-47-2</w:t>
            </w:r>
          </w:p>
        </w:tc>
      </w:tr>
      <w:tr w:rsidR="000C4E5F" w:rsidRPr="000C4E5F" w14:paraId="4E4FFB43" w14:textId="77777777" w:rsidTr="00551114">
        <w:tc>
          <w:tcPr>
            <w:tcW w:w="3119" w:type="dxa"/>
          </w:tcPr>
          <w:p w14:paraId="150ACA4F" w14:textId="77777777" w:rsidR="000C4E5F" w:rsidRPr="000C4E5F" w:rsidRDefault="000C4E5F" w:rsidP="000C4E5F">
            <w:pPr>
              <w:spacing w:before="120" w:after="120"/>
              <w:rPr>
                <w:b/>
                <w:i/>
              </w:rPr>
            </w:pPr>
            <w:r w:rsidRPr="000C4E5F">
              <w:rPr>
                <w:b/>
                <w:i/>
              </w:rPr>
              <w:t>Reaction:</w:t>
            </w:r>
          </w:p>
        </w:tc>
        <w:tc>
          <w:tcPr>
            <w:tcW w:w="5941" w:type="dxa"/>
          </w:tcPr>
          <w:p w14:paraId="5A00086C" w14:textId="60BD7022" w:rsidR="000C4E5F" w:rsidRPr="000C4E5F" w:rsidRDefault="00C76BC6" w:rsidP="000C4E5F">
            <w:pPr>
              <w:spacing w:before="120" w:after="120"/>
            </w:pPr>
            <w:r>
              <w:rPr>
                <w:lang w:val="en-GB"/>
              </w:rPr>
              <w:t>H</w:t>
            </w:r>
            <w:r w:rsidR="009856AD" w:rsidRPr="009856AD">
              <w:rPr>
                <w:lang w:val="en-GB"/>
              </w:rPr>
              <w:t>ydrolysis of (1→4)-α-D-glucosidic linkages in polysaccharides so as to remove successive α-maltose residues from the non-reducing ends of the chains</w:t>
            </w:r>
          </w:p>
        </w:tc>
      </w:tr>
      <w:tr w:rsidR="008662BB" w:rsidRPr="000C4E5F" w14:paraId="39FE2A4F" w14:textId="77777777" w:rsidTr="00551114">
        <w:tc>
          <w:tcPr>
            <w:tcW w:w="3119" w:type="dxa"/>
          </w:tcPr>
          <w:p w14:paraId="775B36E0" w14:textId="41ED3971" w:rsidR="008662BB" w:rsidRPr="000C4E5F" w:rsidRDefault="008662BB" w:rsidP="002C5C5E">
            <w:pPr>
              <w:spacing w:before="120" w:after="120"/>
              <w:rPr>
                <w:b/>
                <w:i/>
              </w:rPr>
            </w:pPr>
            <w:r>
              <w:rPr>
                <w:b/>
                <w:i/>
              </w:rPr>
              <w:t>Optimal temperature</w:t>
            </w:r>
            <w:r w:rsidR="002C5C5E">
              <w:rPr>
                <w:b/>
                <w:i/>
              </w:rPr>
              <w:t xml:space="preserve"> </w:t>
            </w:r>
            <w:r w:rsidR="0027300B">
              <w:rPr>
                <w:b/>
                <w:i/>
              </w:rPr>
              <w:t>(</w:t>
            </w:r>
            <w:r w:rsidR="002C5C5E">
              <w:rPr>
                <w:b/>
                <w:i/>
              </w:rPr>
              <w:t>°C</w:t>
            </w:r>
            <w:r w:rsidR="0027300B">
              <w:rPr>
                <w:b/>
                <w:i/>
              </w:rPr>
              <w:t>):</w:t>
            </w:r>
          </w:p>
        </w:tc>
        <w:tc>
          <w:tcPr>
            <w:tcW w:w="5941" w:type="dxa"/>
          </w:tcPr>
          <w:p w14:paraId="015521CB" w14:textId="0392004F" w:rsidR="008662BB" w:rsidRDefault="002C5C5E" w:rsidP="008662BB">
            <w:pPr>
              <w:spacing w:before="120" w:after="120"/>
            </w:pPr>
            <w:r>
              <w:t>80</w:t>
            </w:r>
          </w:p>
        </w:tc>
      </w:tr>
      <w:tr w:rsidR="008662BB" w:rsidRPr="000C4E5F" w14:paraId="53882EED" w14:textId="77777777" w:rsidTr="00551114">
        <w:tc>
          <w:tcPr>
            <w:tcW w:w="3119" w:type="dxa"/>
          </w:tcPr>
          <w:p w14:paraId="281CC001" w14:textId="4BDE6AB5" w:rsidR="008662BB" w:rsidRDefault="002C5C5E" w:rsidP="002C5C5E">
            <w:pPr>
              <w:spacing w:before="120" w:after="120"/>
              <w:rPr>
                <w:b/>
                <w:i/>
              </w:rPr>
            </w:pPr>
            <w:r>
              <w:rPr>
                <w:b/>
                <w:i/>
              </w:rPr>
              <w:t>Optimal pH</w:t>
            </w:r>
            <w:r w:rsidR="0027300B">
              <w:rPr>
                <w:b/>
                <w:i/>
              </w:rPr>
              <w:t>:</w:t>
            </w:r>
          </w:p>
        </w:tc>
        <w:tc>
          <w:tcPr>
            <w:tcW w:w="5941" w:type="dxa"/>
          </w:tcPr>
          <w:p w14:paraId="71FEB58F" w14:textId="167705A5" w:rsidR="008662BB" w:rsidRDefault="002C5C5E" w:rsidP="000C4E5F">
            <w:pPr>
              <w:spacing w:before="120" w:after="120"/>
            </w:pPr>
            <w:r>
              <w:t>5.5</w:t>
            </w:r>
          </w:p>
        </w:tc>
      </w:tr>
    </w:tbl>
    <w:p w14:paraId="1B6435E5" w14:textId="18EFA820" w:rsidR="001E6A7B" w:rsidRDefault="001E6A7B" w:rsidP="00BD59CB">
      <w:pPr>
        <w:pStyle w:val="Heading2"/>
      </w:pPr>
      <w:bookmarkStart w:id="12" w:name="_Toc59030969"/>
      <w:r>
        <w:t>2.2</w:t>
      </w:r>
      <w:r>
        <w:tab/>
        <w:t>Manufacturing process</w:t>
      </w:r>
      <w:bookmarkEnd w:id="12"/>
    </w:p>
    <w:p w14:paraId="6E74515A" w14:textId="2E1A78A3" w:rsidR="001E6A7B" w:rsidRPr="00223913" w:rsidRDefault="0035149D" w:rsidP="009925D0">
      <w:pPr>
        <w:pStyle w:val="Heading3"/>
      </w:pPr>
      <w:r w:rsidRPr="00223913">
        <w:t>2.2.1</w:t>
      </w:r>
      <w:r w:rsidRPr="00223913">
        <w:tab/>
        <w:t>P</w:t>
      </w:r>
      <w:r w:rsidR="001E6A7B" w:rsidRPr="00223913">
        <w:t>roduction of the enzyme</w:t>
      </w:r>
    </w:p>
    <w:p w14:paraId="75CBEC4D" w14:textId="652E1269" w:rsidR="00BB0443" w:rsidRDefault="007804EA" w:rsidP="00691270">
      <w:pPr>
        <w:widowControl/>
        <w:autoSpaceDE w:val="0"/>
        <w:autoSpaceDN w:val="0"/>
        <w:adjustRightInd w:val="0"/>
        <w:rPr>
          <w:lang w:eastAsia="en-AU"/>
        </w:rPr>
      </w:pPr>
      <w:r w:rsidRPr="00337783">
        <w:rPr>
          <w:lang w:eastAsia="en-AU"/>
        </w:rPr>
        <w:t xml:space="preserve">The enzyme is produced by a submerged fermentation process, which is the common production method of producing food enzymes. </w:t>
      </w:r>
      <w:r w:rsidR="00730584">
        <w:rPr>
          <w:lang w:eastAsia="en-AU"/>
        </w:rPr>
        <w:t>The specific processes are provided in the application which is summarised briefly here as these are very well known processes. They are fermentation, separation of the yeast after completion of fermentation, autolysis of the yeast to release the enzyme, separation</w:t>
      </w:r>
      <w:r w:rsidR="00AA21E0">
        <w:rPr>
          <w:lang w:eastAsia="en-AU"/>
        </w:rPr>
        <w:t xml:space="preserve">, purification </w:t>
      </w:r>
      <w:r w:rsidR="00730584">
        <w:rPr>
          <w:lang w:eastAsia="en-AU"/>
        </w:rPr>
        <w:t xml:space="preserve">and concentration of the enzyme using filtration processes and then formulation </w:t>
      </w:r>
      <w:r w:rsidR="00AA21E0">
        <w:rPr>
          <w:lang w:eastAsia="en-AU"/>
        </w:rPr>
        <w:t>after spray drying using carriers such as maltodextrin to the appropriate product specification and packaging.</w:t>
      </w:r>
    </w:p>
    <w:p w14:paraId="33853F28" w14:textId="05F88CC9" w:rsidR="00AA21E0" w:rsidRDefault="00AA21E0" w:rsidP="00691270">
      <w:pPr>
        <w:widowControl/>
        <w:autoSpaceDE w:val="0"/>
        <w:autoSpaceDN w:val="0"/>
        <w:adjustRightInd w:val="0"/>
        <w:rPr>
          <w:lang w:eastAsia="en-AU"/>
        </w:rPr>
      </w:pPr>
    </w:p>
    <w:p w14:paraId="2B3DBBAF" w14:textId="3F149A62" w:rsidR="00AA21E0" w:rsidRPr="00337783" w:rsidRDefault="002A7019" w:rsidP="00691270">
      <w:pPr>
        <w:widowControl/>
        <w:autoSpaceDE w:val="0"/>
        <w:autoSpaceDN w:val="0"/>
        <w:adjustRightInd w:val="0"/>
        <w:rPr>
          <w:lang w:eastAsia="en-AU"/>
        </w:rPr>
      </w:pPr>
      <w:r>
        <w:rPr>
          <w:lang w:eastAsia="en-AU"/>
        </w:rPr>
        <w:t xml:space="preserve">The manufacturing processes are such to ensure the production microorganism is removed from the final enzyme preparation. The source of the maltodextrin used as a carrier for the enzyme preparation is not sourced from wheat but from corn starch so it is not a potential allergen source. </w:t>
      </w:r>
      <w:r w:rsidR="00C76BC6">
        <w:rPr>
          <w:lang w:eastAsia="en-AU"/>
        </w:rPr>
        <w:t xml:space="preserve">The final enzyme preparation is produced to ensure it complies with international purity specifications of enzymes, being </w:t>
      </w:r>
      <w:r w:rsidR="00C76BC6" w:rsidRPr="00627191">
        <w:rPr>
          <w:rFonts w:ascii="CIDFont+F1" w:eastAsia="Calibri" w:hAnsi="CIDFont+F1" w:cs="CIDFont+F1"/>
          <w:szCs w:val="22"/>
          <w:lang w:bidi="ar-SA"/>
        </w:rPr>
        <w:t xml:space="preserve">the Joint FAO/WHO Expert Committee on Food Additives (JECFA, </w:t>
      </w:r>
      <w:r w:rsidR="00C76BC6" w:rsidRPr="00C76BC6">
        <w:rPr>
          <w:rFonts w:ascii="CIDFont+F1" w:eastAsia="Calibri" w:hAnsi="CIDFont+F1" w:cs="CIDFont+F1"/>
          <w:szCs w:val="22"/>
          <w:lang w:bidi="ar-SA"/>
        </w:rPr>
        <w:t>2006)</w:t>
      </w:r>
      <w:r w:rsidR="00C76BC6" w:rsidRPr="00627191">
        <w:rPr>
          <w:rFonts w:ascii="CIDFont+F1" w:eastAsia="Calibri" w:hAnsi="CIDFont+F1" w:cs="CIDFont+F1"/>
          <w:szCs w:val="22"/>
          <w:lang w:bidi="ar-SA"/>
        </w:rPr>
        <w:t xml:space="preserve"> and the Food Chemicals Codex (FCC) (USP, 2018)</w:t>
      </w:r>
      <w:r w:rsidR="00C76BC6">
        <w:rPr>
          <w:rFonts w:ascii="CIDFont+F1" w:eastAsia="Calibri" w:hAnsi="CIDFont+F1" w:cs="CIDFont+F1"/>
          <w:szCs w:val="22"/>
          <w:lang w:bidi="ar-SA"/>
        </w:rPr>
        <w:t xml:space="preserve"> </w:t>
      </w:r>
      <w:r w:rsidR="00C76BC6">
        <w:rPr>
          <w:lang w:eastAsia="en-AU"/>
        </w:rPr>
        <w:t xml:space="preserve">as discussed in the next section. </w:t>
      </w:r>
    </w:p>
    <w:p w14:paraId="0D830194" w14:textId="042CE3A5" w:rsidR="001E6A7B" w:rsidRDefault="001E6A7B" w:rsidP="009925D0">
      <w:pPr>
        <w:pStyle w:val="Heading3"/>
      </w:pPr>
      <w:r>
        <w:t>2.2.2</w:t>
      </w:r>
      <w:r w:rsidR="0035149D">
        <w:tab/>
      </w:r>
      <w:r>
        <w:t>Specifications</w:t>
      </w:r>
    </w:p>
    <w:p w14:paraId="161CB1EA" w14:textId="22F1CF82" w:rsidR="00691270" w:rsidRPr="00627191" w:rsidRDefault="00691270" w:rsidP="00691270">
      <w:pPr>
        <w:widowControl/>
        <w:autoSpaceDE w:val="0"/>
        <w:autoSpaceDN w:val="0"/>
        <w:adjustRightInd w:val="0"/>
        <w:rPr>
          <w:rFonts w:ascii="CIDFont+F1" w:eastAsia="Calibri" w:hAnsi="CIDFont+F1" w:cs="CIDFont+F1"/>
          <w:szCs w:val="22"/>
          <w:lang w:bidi="ar-SA"/>
        </w:rPr>
      </w:pPr>
      <w:r w:rsidRPr="00627191">
        <w:rPr>
          <w:rFonts w:ascii="CIDFont+F1" w:eastAsia="Calibri" w:hAnsi="CIDFont+F1" w:cs="CIDFont+F1"/>
          <w:szCs w:val="22"/>
          <w:lang w:bidi="ar-SA"/>
        </w:rPr>
        <w:t>There are international specifications for enzyme preparations used in food production</w:t>
      </w:r>
      <w:r w:rsidR="007A57FC">
        <w:rPr>
          <w:rFonts w:ascii="CIDFont+F1" w:eastAsia="Calibri" w:hAnsi="CIDFont+F1" w:cs="CIDFont+F1"/>
          <w:szCs w:val="22"/>
          <w:lang w:bidi="ar-SA"/>
        </w:rPr>
        <w:t xml:space="preserve"> (JECFA 2006; USP 2018)</w:t>
      </w:r>
      <w:r w:rsidRPr="00627191">
        <w:rPr>
          <w:rFonts w:ascii="CIDFont+F1" w:eastAsia="Calibri" w:hAnsi="CIDFont+F1" w:cs="CIDFont+F1"/>
          <w:szCs w:val="22"/>
          <w:lang w:bidi="ar-SA"/>
        </w:rPr>
        <w:t>. Both of these specification sources are primary sources listed in section S3—2 of the Code. Enzyme preparations must meet these specifications.</w:t>
      </w:r>
    </w:p>
    <w:p w14:paraId="65E21886" w14:textId="77777777" w:rsidR="00691270" w:rsidRPr="00627191" w:rsidRDefault="00691270" w:rsidP="00691270">
      <w:pPr>
        <w:widowControl/>
        <w:autoSpaceDE w:val="0"/>
        <w:autoSpaceDN w:val="0"/>
        <w:adjustRightInd w:val="0"/>
        <w:rPr>
          <w:rFonts w:ascii="CIDFont+F1" w:eastAsia="Calibri" w:hAnsi="CIDFont+F1" w:cs="CIDFont+F1"/>
          <w:szCs w:val="22"/>
          <w:lang w:bidi="ar-SA"/>
        </w:rPr>
      </w:pPr>
    </w:p>
    <w:p w14:paraId="2DD3C790" w14:textId="02DB511A" w:rsidR="00691270" w:rsidRPr="00627191" w:rsidRDefault="00691270" w:rsidP="00691270">
      <w:pPr>
        <w:widowControl/>
        <w:autoSpaceDE w:val="0"/>
        <w:autoSpaceDN w:val="0"/>
        <w:adjustRightInd w:val="0"/>
        <w:rPr>
          <w:rFonts w:ascii="CIDFont+F1" w:eastAsia="Calibri" w:hAnsi="CIDFont+F1" w:cs="CIDFont+F1"/>
          <w:szCs w:val="22"/>
          <w:lang w:bidi="ar-SA"/>
        </w:rPr>
      </w:pPr>
      <w:r w:rsidRPr="00627191">
        <w:rPr>
          <w:rFonts w:ascii="CIDFont+F1" w:eastAsia="Calibri" w:hAnsi="CIDFont+F1" w:cs="CIDFont+F1"/>
          <w:szCs w:val="22"/>
          <w:lang w:bidi="ar-SA"/>
        </w:rPr>
        <w:lastRenderedPageBreak/>
        <w:t xml:space="preserve">Table </w:t>
      </w:r>
      <w:r w:rsidR="00BF5CD9">
        <w:rPr>
          <w:rFonts w:ascii="CIDFont+F1" w:eastAsia="Calibri" w:hAnsi="CIDFont+F1" w:cs="CIDFont+F1"/>
          <w:szCs w:val="22"/>
          <w:lang w:bidi="ar-SA"/>
        </w:rPr>
        <w:t>2</w:t>
      </w:r>
      <w:r w:rsidR="00BF5CD9" w:rsidRPr="00627191">
        <w:rPr>
          <w:rFonts w:ascii="CIDFont+F1" w:eastAsia="Calibri" w:hAnsi="CIDFont+F1" w:cs="CIDFont+F1"/>
          <w:szCs w:val="22"/>
          <w:lang w:bidi="ar-SA"/>
        </w:rPr>
        <w:t xml:space="preserve"> </w:t>
      </w:r>
      <w:r w:rsidRPr="00627191">
        <w:rPr>
          <w:rFonts w:ascii="CIDFont+F1" w:eastAsia="Calibri" w:hAnsi="CIDFont+F1" w:cs="CIDFont+F1"/>
          <w:szCs w:val="22"/>
          <w:lang w:bidi="ar-SA"/>
        </w:rPr>
        <w:t xml:space="preserve">provides a comparison of representative batch analysis of </w:t>
      </w:r>
      <w:r w:rsidR="00CD0EE8">
        <w:rPr>
          <w:rFonts w:ascii="CIDFont+F1" w:eastAsia="Calibri" w:hAnsi="CIDFont+F1" w:cs="CIDFont+F1"/>
          <w:szCs w:val="22"/>
          <w:lang w:bidi="ar-SA"/>
        </w:rPr>
        <w:t xml:space="preserve">three non-sequential batches of </w:t>
      </w:r>
      <w:r w:rsidRPr="00627191">
        <w:rPr>
          <w:rFonts w:ascii="CIDFont+F1" w:eastAsia="Calibri" w:hAnsi="CIDFont+F1" w:cs="CIDFont+F1"/>
          <w:szCs w:val="22"/>
          <w:lang w:bidi="ar-SA"/>
        </w:rPr>
        <w:t xml:space="preserve">the enzyme preparation with the international specifications established by JECFA and </w:t>
      </w:r>
      <w:r w:rsidR="00CD0EE8">
        <w:rPr>
          <w:rFonts w:ascii="CIDFont+F1" w:eastAsia="Calibri" w:hAnsi="CIDFont+F1" w:cs="CIDFont+F1"/>
          <w:szCs w:val="22"/>
          <w:lang w:bidi="ar-SA"/>
        </w:rPr>
        <w:t>FCC</w:t>
      </w:r>
      <w:r w:rsidRPr="00627191">
        <w:rPr>
          <w:rFonts w:ascii="CIDFont+F1" w:eastAsia="Calibri" w:hAnsi="CIDFont+F1" w:cs="CIDFont+F1"/>
          <w:szCs w:val="22"/>
          <w:lang w:bidi="ar-SA"/>
        </w:rPr>
        <w:t>, as well as those detailed in the Code (</w:t>
      </w:r>
      <w:r w:rsidR="00BF4C28" w:rsidRPr="00627191">
        <w:rPr>
          <w:rFonts w:ascii="CIDFont+F1" w:eastAsia="Calibri" w:hAnsi="CIDFont+F1" w:cs="CIDFont+F1"/>
          <w:szCs w:val="22"/>
          <w:lang w:bidi="ar-SA"/>
        </w:rPr>
        <w:t xml:space="preserve">being section S3—4, </w:t>
      </w:r>
      <w:r w:rsidRPr="00627191">
        <w:rPr>
          <w:rFonts w:ascii="CIDFont+F1" w:eastAsia="Calibri" w:hAnsi="CIDFont+F1" w:cs="CIDFont+F1"/>
          <w:szCs w:val="22"/>
          <w:lang w:bidi="ar-SA"/>
        </w:rPr>
        <w:t>as applicable).</w:t>
      </w:r>
      <w:r w:rsidR="00627191" w:rsidRPr="00627191">
        <w:rPr>
          <w:rFonts w:ascii="CIDFont+F1" w:eastAsia="Calibri" w:hAnsi="CIDFont+F1" w:cs="CIDFont+F1"/>
          <w:szCs w:val="22"/>
          <w:lang w:bidi="ar-SA"/>
        </w:rPr>
        <w:t xml:space="preserve"> </w:t>
      </w:r>
      <w:r w:rsidR="002A0B87" w:rsidRPr="002A6CA9">
        <w:rPr>
          <w:rFonts w:ascii="CIDFont+F1" w:eastAsia="Calibri" w:hAnsi="CIDFont+F1" w:cs="CIDFont+F1"/>
          <w:szCs w:val="22"/>
          <w:lang w:bidi="ar-SA"/>
        </w:rPr>
        <w:t xml:space="preserve">Analytical results for </w:t>
      </w:r>
      <w:r w:rsidR="00627191" w:rsidRPr="002A6CA9">
        <w:rPr>
          <w:rFonts w:ascii="CIDFont+F1" w:eastAsia="Calibri" w:hAnsi="CIDFont+F1" w:cs="CIDFont+F1"/>
          <w:szCs w:val="22"/>
          <w:lang w:bidi="ar-SA"/>
        </w:rPr>
        <w:t xml:space="preserve">heavy metals (lead, arsenic, </w:t>
      </w:r>
      <w:r w:rsidR="00AC39B3" w:rsidRPr="002A6CA9">
        <w:rPr>
          <w:rFonts w:ascii="CIDFont+F1" w:eastAsia="Calibri" w:hAnsi="CIDFont+F1" w:cs="CIDFont+F1"/>
          <w:szCs w:val="22"/>
          <w:lang w:bidi="ar-SA"/>
        </w:rPr>
        <w:t xml:space="preserve">cadmium and mercury) confirm that </w:t>
      </w:r>
      <w:r w:rsidR="00627191" w:rsidRPr="002A6CA9">
        <w:rPr>
          <w:rFonts w:ascii="CIDFont+F1" w:eastAsia="Calibri" w:hAnsi="CIDFont+F1" w:cs="CIDFont+F1"/>
          <w:szCs w:val="22"/>
          <w:lang w:bidi="ar-SA"/>
        </w:rPr>
        <w:t>representative batches meet the requirements of S3—4 of the Code.</w:t>
      </w:r>
    </w:p>
    <w:p w14:paraId="309BB4F5" w14:textId="77777777" w:rsidR="00691270" w:rsidRPr="00627191" w:rsidRDefault="00691270" w:rsidP="00691270">
      <w:pPr>
        <w:widowControl/>
        <w:autoSpaceDE w:val="0"/>
        <w:autoSpaceDN w:val="0"/>
        <w:adjustRightInd w:val="0"/>
        <w:rPr>
          <w:rFonts w:ascii="CIDFont+F1" w:eastAsia="Calibri" w:hAnsi="CIDFont+F1" w:cs="CIDFont+F1"/>
          <w:szCs w:val="22"/>
          <w:lang w:bidi="ar-SA"/>
        </w:rPr>
      </w:pPr>
    </w:p>
    <w:p w14:paraId="6079E615" w14:textId="66C598BF" w:rsidR="00691270" w:rsidRPr="00386205" w:rsidRDefault="00691270" w:rsidP="0027300B">
      <w:pPr>
        <w:pStyle w:val="FSTableTitle"/>
        <w:keepNext/>
        <w:keepLines/>
        <w:widowControl/>
        <w:ind w:left="142"/>
        <w:rPr>
          <w:rFonts w:eastAsia="Calibri"/>
          <w:lang w:bidi="ar-SA"/>
        </w:rPr>
      </w:pPr>
      <w:r w:rsidRPr="00386205">
        <w:rPr>
          <w:rFonts w:eastAsia="Calibri"/>
          <w:lang w:bidi="ar-SA"/>
        </w:rPr>
        <w:t>Table 2: Product specifications for commercial enzyme preparation</w:t>
      </w:r>
    </w:p>
    <w:p w14:paraId="4581D3B1" w14:textId="77777777" w:rsidR="00BD59CB" w:rsidRPr="00386205" w:rsidRDefault="00BD59CB" w:rsidP="00C76BC6">
      <w:pPr>
        <w:keepNext/>
        <w:keepLines/>
        <w:widowControl/>
        <w:autoSpaceDE w:val="0"/>
        <w:autoSpaceDN w:val="0"/>
        <w:adjustRightInd w:val="0"/>
        <w:rPr>
          <w:rFonts w:ascii="CIDFont+F1" w:eastAsia="Calibri" w:hAnsi="CIDFont+F1" w:cs="CIDFont+F1"/>
          <w:szCs w:val="22"/>
          <w:lang w:bidi="ar-SA"/>
        </w:rPr>
      </w:pPr>
    </w:p>
    <w:tbl>
      <w:tblPr>
        <w:tblStyle w:val="TableGrid2"/>
        <w:tblW w:w="0" w:type="auto"/>
        <w:jc w:val="center"/>
        <w:tblLayout w:type="fixed"/>
        <w:tblLook w:val="04A0" w:firstRow="1" w:lastRow="0" w:firstColumn="1" w:lastColumn="0" w:noHBand="0" w:noVBand="1"/>
        <w:tblCaption w:val="Table 2: Product specifications for commercial enzyme preparation"/>
        <w:tblDescription w:val="Enzyme specifications comparision to JECFA, Food Chemicals Codex and relevant Code criteria: lead, arsenic, cadmium, mercury, total coliforms, salmonella, enteropathic E. coli, antimicrobial activity"/>
      </w:tblPr>
      <w:tblGrid>
        <w:gridCol w:w="2215"/>
        <w:gridCol w:w="2316"/>
        <w:gridCol w:w="1276"/>
        <w:gridCol w:w="1418"/>
        <w:gridCol w:w="1417"/>
      </w:tblGrid>
      <w:tr w:rsidR="00386205" w:rsidRPr="00386205" w14:paraId="22A25F5A" w14:textId="77777777" w:rsidTr="0027300B">
        <w:trPr>
          <w:jc w:val="center"/>
        </w:trPr>
        <w:tc>
          <w:tcPr>
            <w:tcW w:w="2215" w:type="dxa"/>
            <w:vMerge w:val="restart"/>
            <w:vAlign w:val="center"/>
          </w:tcPr>
          <w:p w14:paraId="3F7C8D9E" w14:textId="77777777" w:rsidR="00691270" w:rsidRPr="00386205" w:rsidRDefault="00691270" w:rsidP="0027300B">
            <w:pPr>
              <w:keepNext/>
              <w:keepLines/>
              <w:widowControl/>
              <w:autoSpaceDE w:val="0"/>
              <w:autoSpaceDN w:val="0"/>
              <w:adjustRightInd w:val="0"/>
              <w:spacing w:before="20" w:after="20"/>
              <w:rPr>
                <w:rFonts w:ascii="CIDFont+F1" w:hAnsi="CIDFont+F1" w:cs="CIDFont+F3"/>
                <w:b/>
                <w:szCs w:val="22"/>
                <w:lang w:bidi="ar-SA"/>
              </w:rPr>
            </w:pPr>
            <w:r w:rsidRPr="00386205">
              <w:rPr>
                <w:rFonts w:ascii="CIDFont+F1" w:hAnsi="CIDFont+F1" w:cs="CIDFont+F3"/>
                <w:b/>
                <w:szCs w:val="22"/>
                <w:lang w:bidi="ar-SA"/>
              </w:rPr>
              <w:t>Analysis</w:t>
            </w:r>
          </w:p>
        </w:tc>
        <w:tc>
          <w:tcPr>
            <w:tcW w:w="2316" w:type="dxa"/>
            <w:vMerge w:val="restart"/>
            <w:vAlign w:val="center"/>
          </w:tcPr>
          <w:p w14:paraId="2851C602" w14:textId="77777777" w:rsidR="00691270" w:rsidRPr="00386205" w:rsidRDefault="00691270" w:rsidP="0027300B">
            <w:pPr>
              <w:keepNext/>
              <w:keepLines/>
              <w:widowControl/>
              <w:autoSpaceDE w:val="0"/>
              <w:autoSpaceDN w:val="0"/>
              <w:adjustRightInd w:val="0"/>
              <w:spacing w:before="20" w:after="20"/>
              <w:jc w:val="center"/>
              <w:rPr>
                <w:rFonts w:ascii="CIDFont+F1" w:hAnsi="CIDFont+F1" w:cs="CIDFont+F3"/>
                <w:b/>
                <w:szCs w:val="22"/>
                <w:lang w:bidi="ar-SA"/>
              </w:rPr>
            </w:pPr>
            <w:r w:rsidRPr="00386205">
              <w:rPr>
                <w:rFonts w:ascii="CIDFont+F1" w:hAnsi="CIDFont+F1" w:cs="CIDFont+F3"/>
                <w:b/>
                <w:szCs w:val="22"/>
                <w:lang w:bidi="ar-SA"/>
              </w:rPr>
              <w:t>Enzyme batch analysis</w:t>
            </w:r>
          </w:p>
        </w:tc>
        <w:tc>
          <w:tcPr>
            <w:tcW w:w="4111" w:type="dxa"/>
            <w:gridSpan w:val="3"/>
            <w:vAlign w:val="center"/>
          </w:tcPr>
          <w:p w14:paraId="64260BDF" w14:textId="77777777" w:rsidR="00691270" w:rsidRPr="00386205" w:rsidRDefault="00691270" w:rsidP="0027300B">
            <w:pPr>
              <w:keepNext/>
              <w:keepLines/>
              <w:widowControl/>
              <w:autoSpaceDE w:val="0"/>
              <w:autoSpaceDN w:val="0"/>
              <w:adjustRightInd w:val="0"/>
              <w:spacing w:before="20" w:after="20"/>
              <w:jc w:val="center"/>
              <w:rPr>
                <w:rFonts w:ascii="CIDFont+F1" w:hAnsi="CIDFont+F1"/>
                <w:b/>
                <w:szCs w:val="22"/>
              </w:rPr>
            </w:pPr>
            <w:r w:rsidRPr="00386205">
              <w:rPr>
                <w:rFonts w:ascii="CIDFont+F1" w:hAnsi="CIDFont+F1"/>
                <w:b/>
                <w:szCs w:val="22"/>
              </w:rPr>
              <w:t>Specifications</w:t>
            </w:r>
          </w:p>
        </w:tc>
      </w:tr>
      <w:tr w:rsidR="00386205" w:rsidRPr="00386205" w14:paraId="4FCE4138" w14:textId="77777777" w:rsidTr="0027300B">
        <w:trPr>
          <w:jc w:val="center"/>
        </w:trPr>
        <w:tc>
          <w:tcPr>
            <w:tcW w:w="2215" w:type="dxa"/>
            <w:vMerge/>
            <w:vAlign w:val="center"/>
          </w:tcPr>
          <w:p w14:paraId="4A30C467" w14:textId="77777777" w:rsidR="00691270" w:rsidRPr="00386205" w:rsidRDefault="00691270" w:rsidP="0027300B">
            <w:pPr>
              <w:keepNext/>
              <w:keepLines/>
              <w:widowControl/>
              <w:autoSpaceDE w:val="0"/>
              <w:autoSpaceDN w:val="0"/>
              <w:adjustRightInd w:val="0"/>
              <w:spacing w:before="20" w:after="20"/>
              <w:jc w:val="center"/>
              <w:rPr>
                <w:rFonts w:ascii="CIDFont+F1" w:hAnsi="CIDFont+F1" w:cs="CIDFont+F1"/>
                <w:b/>
                <w:szCs w:val="22"/>
                <w:lang w:bidi="ar-SA"/>
              </w:rPr>
            </w:pPr>
          </w:p>
        </w:tc>
        <w:tc>
          <w:tcPr>
            <w:tcW w:w="2316" w:type="dxa"/>
            <w:vMerge/>
            <w:vAlign w:val="center"/>
          </w:tcPr>
          <w:p w14:paraId="4BEB92E9" w14:textId="77777777" w:rsidR="00691270" w:rsidRPr="00386205" w:rsidRDefault="00691270" w:rsidP="0027300B">
            <w:pPr>
              <w:keepNext/>
              <w:keepLines/>
              <w:widowControl/>
              <w:autoSpaceDE w:val="0"/>
              <w:autoSpaceDN w:val="0"/>
              <w:adjustRightInd w:val="0"/>
              <w:spacing w:before="20" w:after="20"/>
              <w:jc w:val="center"/>
              <w:rPr>
                <w:rFonts w:ascii="CIDFont+F1" w:hAnsi="CIDFont+F1" w:cs="CIDFont+F1"/>
                <w:b/>
                <w:szCs w:val="22"/>
                <w:lang w:bidi="ar-SA"/>
              </w:rPr>
            </w:pPr>
          </w:p>
        </w:tc>
        <w:tc>
          <w:tcPr>
            <w:tcW w:w="1276" w:type="dxa"/>
            <w:vAlign w:val="center"/>
          </w:tcPr>
          <w:p w14:paraId="276FD946" w14:textId="77777777" w:rsidR="00691270" w:rsidRPr="00386205" w:rsidRDefault="00691270" w:rsidP="0027300B">
            <w:pPr>
              <w:keepNext/>
              <w:keepLines/>
              <w:widowControl/>
              <w:autoSpaceDE w:val="0"/>
              <w:autoSpaceDN w:val="0"/>
              <w:adjustRightInd w:val="0"/>
              <w:spacing w:before="20" w:after="20"/>
              <w:jc w:val="center"/>
              <w:rPr>
                <w:rFonts w:ascii="CIDFont+F1" w:hAnsi="CIDFont+F1" w:cs="CIDFont+F1"/>
                <w:b/>
                <w:szCs w:val="22"/>
                <w:lang w:bidi="ar-SA"/>
              </w:rPr>
            </w:pPr>
            <w:r w:rsidRPr="00386205">
              <w:rPr>
                <w:rFonts w:ascii="CIDFont+F1" w:hAnsi="CIDFont+F1" w:cs="CIDFont+F3"/>
                <w:b/>
                <w:szCs w:val="22"/>
                <w:lang w:bidi="ar-SA"/>
              </w:rPr>
              <w:t>JECFA</w:t>
            </w:r>
          </w:p>
        </w:tc>
        <w:tc>
          <w:tcPr>
            <w:tcW w:w="1418" w:type="dxa"/>
            <w:vAlign w:val="center"/>
          </w:tcPr>
          <w:p w14:paraId="08EF2A19" w14:textId="0D03B740" w:rsidR="00691270" w:rsidRPr="00386205" w:rsidRDefault="0027300B" w:rsidP="0027300B">
            <w:pPr>
              <w:keepNext/>
              <w:keepLines/>
              <w:widowControl/>
              <w:autoSpaceDE w:val="0"/>
              <w:autoSpaceDN w:val="0"/>
              <w:adjustRightInd w:val="0"/>
              <w:spacing w:before="20" w:after="20"/>
              <w:jc w:val="center"/>
              <w:rPr>
                <w:rFonts w:ascii="CIDFont+F1" w:hAnsi="CIDFont+F1" w:cs="CIDFont+F3"/>
                <w:b/>
                <w:szCs w:val="22"/>
                <w:lang w:bidi="ar-SA"/>
              </w:rPr>
            </w:pPr>
            <w:r>
              <w:rPr>
                <w:rFonts w:ascii="CIDFont+F1" w:hAnsi="CIDFont+F1" w:cs="CIDFont+F3"/>
                <w:b/>
                <w:szCs w:val="22"/>
                <w:lang w:bidi="ar-SA"/>
              </w:rPr>
              <w:t>FCC</w:t>
            </w:r>
            <w:r w:rsidRPr="0027300B">
              <w:rPr>
                <w:rFonts w:ascii="CIDFont+F1" w:hAnsi="CIDFont+F1" w:cs="CIDFont+F3"/>
                <w:b/>
                <w:szCs w:val="22"/>
                <w:vertAlign w:val="superscript"/>
                <w:lang w:bidi="ar-SA"/>
              </w:rPr>
              <w:t>1</w:t>
            </w:r>
          </w:p>
        </w:tc>
        <w:tc>
          <w:tcPr>
            <w:tcW w:w="1417" w:type="dxa"/>
            <w:vAlign w:val="center"/>
          </w:tcPr>
          <w:p w14:paraId="5A2EC87D" w14:textId="3E4F9F85" w:rsidR="00691270" w:rsidRPr="00386205" w:rsidRDefault="00691270" w:rsidP="0027300B">
            <w:pPr>
              <w:keepNext/>
              <w:keepLines/>
              <w:widowControl/>
              <w:autoSpaceDE w:val="0"/>
              <w:autoSpaceDN w:val="0"/>
              <w:adjustRightInd w:val="0"/>
              <w:spacing w:before="20" w:after="20"/>
              <w:jc w:val="center"/>
              <w:rPr>
                <w:rFonts w:ascii="CIDFont+F1" w:hAnsi="CIDFont+F1" w:cs="CIDFont+F1"/>
                <w:szCs w:val="22"/>
                <w:lang w:bidi="ar-SA"/>
              </w:rPr>
            </w:pPr>
            <w:r w:rsidRPr="00386205">
              <w:rPr>
                <w:rFonts w:ascii="CIDFont+F1" w:hAnsi="CIDFont+F1"/>
                <w:b/>
                <w:szCs w:val="22"/>
              </w:rPr>
              <w:t>Code</w:t>
            </w:r>
          </w:p>
        </w:tc>
      </w:tr>
      <w:tr w:rsidR="00386205" w:rsidRPr="00386205" w14:paraId="5646CBAE" w14:textId="77777777" w:rsidTr="0027300B">
        <w:trPr>
          <w:jc w:val="center"/>
        </w:trPr>
        <w:tc>
          <w:tcPr>
            <w:tcW w:w="2215" w:type="dxa"/>
            <w:vAlign w:val="center"/>
          </w:tcPr>
          <w:p w14:paraId="36A8EB12" w14:textId="307811FB" w:rsidR="00691270" w:rsidRPr="0027300B" w:rsidRDefault="00BA159A"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 xml:space="preserve">Lead </w:t>
            </w:r>
            <w:r w:rsidR="00691270" w:rsidRPr="0027300B">
              <w:rPr>
                <w:rFonts w:ascii="CIDFont+F1" w:hAnsi="CIDFont+F1" w:cs="CIDFont+F1"/>
                <w:sz w:val="20"/>
                <w:szCs w:val="22"/>
                <w:lang w:bidi="ar-SA"/>
              </w:rPr>
              <w:t>(mg/kg)</w:t>
            </w:r>
          </w:p>
        </w:tc>
        <w:tc>
          <w:tcPr>
            <w:tcW w:w="2316" w:type="dxa"/>
          </w:tcPr>
          <w:p w14:paraId="094ED055" w14:textId="3EE30DD9"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xml:space="preserve">&lt;0.061, </w:t>
            </w:r>
            <w:r w:rsidR="004761BD" w:rsidRPr="0027300B">
              <w:rPr>
                <w:rFonts w:ascii="CIDFont+F1" w:hAnsi="CIDFont+F1" w:cs="CIDFont+F1"/>
                <w:sz w:val="20"/>
                <w:szCs w:val="22"/>
                <w:lang w:bidi="ar-SA"/>
              </w:rPr>
              <w:t>&lt;0.250, &lt;0.250</w:t>
            </w:r>
          </w:p>
        </w:tc>
        <w:tc>
          <w:tcPr>
            <w:tcW w:w="1276" w:type="dxa"/>
            <w:vAlign w:val="center"/>
          </w:tcPr>
          <w:p w14:paraId="2F9B0899"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5</w:t>
            </w:r>
          </w:p>
        </w:tc>
        <w:tc>
          <w:tcPr>
            <w:tcW w:w="1418" w:type="dxa"/>
            <w:vAlign w:val="center"/>
          </w:tcPr>
          <w:p w14:paraId="69A5A681"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5</w:t>
            </w:r>
          </w:p>
        </w:tc>
        <w:tc>
          <w:tcPr>
            <w:tcW w:w="1417" w:type="dxa"/>
            <w:vAlign w:val="center"/>
          </w:tcPr>
          <w:p w14:paraId="12F1834D"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≤2</w:t>
            </w:r>
          </w:p>
        </w:tc>
      </w:tr>
      <w:tr w:rsidR="00386205" w:rsidRPr="00386205" w14:paraId="689E6567" w14:textId="77777777" w:rsidTr="0027300B">
        <w:trPr>
          <w:jc w:val="center"/>
        </w:trPr>
        <w:tc>
          <w:tcPr>
            <w:tcW w:w="2215" w:type="dxa"/>
            <w:vAlign w:val="center"/>
          </w:tcPr>
          <w:p w14:paraId="7500C094" w14:textId="525315A4" w:rsidR="00691270" w:rsidRPr="0027300B" w:rsidRDefault="00BA159A"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Arsenic</w:t>
            </w:r>
            <w:r w:rsidR="00691270" w:rsidRPr="0027300B">
              <w:rPr>
                <w:rFonts w:ascii="CIDFont+F1" w:hAnsi="CIDFont+F1" w:cs="CIDFont+F1"/>
                <w:sz w:val="20"/>
                <w:szCs w:val="22"/>
                <w:lang w:bidi="ar-SA"/>
              </w:rPr>
              <w:t xml:space="preserve"> (mg/kg)</w:t>
            </w:r>
          </w:p>
        </w:tc>
        <w:tc>
          <w:tcPr>
            <w:tcW w:w="2316" w:type="dxa"/>
          </w:tcPr>
          <w:p w14:paraId="38E8DCF6" w14:textId="6DFDDA02"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xml:space="preserve">&lt;0.012, </w:t>
            </w:r>
            <w:r w:rsidR="004761BD" w:rsidRPr="0027300B">
              <w:rPr>
                <w:rFonts w:ascii="CIDFont+F1" w:hAnsi="CIDFont+F1" w:cs="CIDFont+F1"/>
                <w:sz w:val="20"/>
                <w:szCs w:val="22"/>
                <w:lang w:bidi="ar-SA"/>
              </w:rPr>
              <w:t>&lt;0.025, 0.247</w:t>
            </w:r>
          </w:p>
        </w:tc>
        <w:tc>
          <w:tcPr>
            <w:tcW w:w="1276" w:type="dxa"/>
            <w:vAlign w:val="center"/>
          </w:tcPr>
          <w:p w14:paraId="5871921F"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8" w:type="dxa"/>
            <w:vAlign w:val="center"/>
          </w:tcPr>
          <w:p w14:paraId="17FF976A"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4360836B"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≤1</w:t>
            </w:r>
          </w:p>
        </w:tc>
      </w:tr>
      <w:tr w:rsidR="00386205" w:rsidRPr="00386205" w14:paraId="1EC7612A" w14:textId="77777777" w:rsidTr="0027300B">
        <w:trPr>
          <w:jc w:val="center"/>
        </w:trPr>
        <w:tc>
          <w:tcPr>
            <w:tcW w:w="2215" w:type="dxa"/>
            <w:vAlign w:val="center"/>
          </w:tcPr>
          <w:p w14:paraId="1FA50FD7" w14:textId="36E0C931" w:rsidR="00691270" w:rsidRPr="0027300B" w:rsidRDefault="00BA159A"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Cadmium</w:t>
            </w:r>
            <w:r w:rsidR="00691270" w:rsidRPr="0027300B">
              <w:rPr>
                <w:rFonts w:ascii="CIDFont+F1" w:hAnsi="CIDFont+F1" w:cs="CIDFont+F1"/>
                <w:sz w:val="20"/>
                <w:szCs w:val="22"/>
                <w:lang w:bidi="ar-SA"/>
              </w:rPr>
              <w:t xml:space="preserve"> (mg/kg)</w:t>
            </w:r>
          </w:p>
        </w:tc>
        <w:tc>
          <w:tcPr>
            <w:tcW w:w="2316" w:type="dxa"/>
          </w:tcPr>
          <w:p w14:paraId="1A5D6268" w14:textId="7AFF8A34"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xml:space="preserve">&lt;0.075, </w:t>
            </w:r>
            <w:r w:rsidR="004761BD" w:rsidRPr="0027300B">
              <w:rPr>
                <w:rFonts w:ascii="CIDFont+F1" w:hAnsi="CIDFont+F1" w:cs="CIDFont+F1"/>
                <w:sz w:val="20"/>
                <w:szCs w:val="22"/>
                <w:lang w:bidi="ar-SA"/>
              </w:rPr>
              <w:t>&lt;0.050, &lt;0.025</w:t>
            </w:r>
          </w:p>
        </w:tc>
        <w:tc>
          <w:tcPr>
            <w:tcW w:w="1276" w:type="dxa"/>
            <w:vAlign w:val="center"/>
          </w:tcPr>
          <w:p w14:paraId="0B94E535"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8" w:type="dxa"/>
            <w:vAlign w:val="center"/>
          </w:tcPr>
          <w:p w14:paraId="6A29E949"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64E776D9"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≤1</w:t>
            </w:r>
          </w:p>
        </w:tc>
      </w:tr>
      <w:tr w:rsidR="00386205" w:rsidRPr="00386205" w14:paraId="4A91276F" w14:textId="77777777" w:rsidTr="0027300B">
        <w:trPr>
          <w:jc w:val="center"/>
        </w:trPr>
        <w:tc>
          <w:tcPr>
            <w:tcW w:w="2215" w:type="dxa"/>
            <w:vAlign w:val="center"/>
          </w:tcPr>
          <w:p w14:paraId="61E7452C" w14:textId="226C1FFF" w:rsidR="00691270" w:rsidRPr="0027300B" w:rsidRDefault="00BA159A"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Mercury</w:t>
            </w:r>
            <w:r w:rsidR="00691270" w:rsidRPr="0027300B">
              <w:rPr>
                <w:rFonts w:ascii="CIDFont+F1" w:hAnsi="CIDFont+F1" w:cs="CIDFont+F1"/>
                <w:sz w:val="20"/>
                <w:szCs w:val="22"/>
                <w:lang w:bidi="ar-SA"/>
              </w:rPr>
              <w:t xml:space="preserve"> (mg/kg)</w:t>
            </w:r>
          </w:p>
        </w:tc>
        <w:tc>
          <w:tcPr>
            <w:tcW w:w="2316" w:type="dxa"/>
          </w:tcPr>
          <w:p w14:paraId="00559CAE" w14:textId="27965FF6"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xml:space="preserve">&lt;0.025, </w:t>
            </w:r>
            <w:r w:rsidR="004761BD" w:rsidRPr="0027300B">
              <w:rPr>
                <w:rFonts w:ascii="CIDFont+F1" w:hAnsi="CIDFont+F1" w:cs="CIDFont+F1"/>
                <w:sz w:val="20"/>
                <w:szCs w:val="22"/>
                <w:lang w:bidi="ar-SA"/>
              </w:rPr>
              <w:t>&lt;0.100, &lt;0.050</w:t>
            </w:r>
          </w:p>
        </w:tc>
        <w:tc>
          <w:tcPr>
            <w:tcW w:w="1276" w:type="dxa"/>
            <w:vAlign w:val="center"/>
          </w:tcPr>
          <w:p w14:paraId="6F685DB4"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8" w:type="dxa"/>
            <w:vAlign w:val="center"/>
          </w:tcPr>
          <w:p w14:paraId="11DFBFD3"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4FCEC610"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≤1</w:t>
            </w:r>
          </w:p>
        </w:tc>
      </w:tr>
      <w:tr w:rsidR="00386205" w:rsidRPr="00386205" w14:paraId="4D20E0CF" w14:textId="77777777" w:rsidTr="0027300B">
        <w:trPr>
          <w:jc w:val="center"/>
        </w:trPr>
        <w:tc>
          <w:tcPr>
            <w:tcW w:w="2215" w:type="dxa"/>
            <w:vAlign w:val="center"/>
          </w:tcPr>
          <w:p w14:paraId="3DA29C13" w14:textId="77777777" w:rsidR="00691270" w:rsidRPr="0027300B" w:rsidRDefault="00691270"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Total coliforms (cfu/g)</w:t>
            </w:r>
          </w:p>
        </w:tc>
        <w:tc>
          <w:tcPr>
            <w:tcW w:w="2316" w:type="dxa"/>
          </w:tcPr>
          <w:p w14:paraId="224A5B12" w14:textId="67F37567"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 xml:space="preserve">0, 0, </w:t>
            </w:r>
            <w:r w:rsidR="004761BD" w:rsidRPr="0027300B">
              <w:rPr>
                <w:rFonts w:ascii="CIDFont+F1" w:hAnsi="CIDFont+F1" w:cs="CIDFont+F1"/>
                <w:sz w:val="20"/>
                <w:szCs w:val="22"/>
                <w:lang w:bidi="ar-SA"/>
              </w:rPr>
              <w:t>&lt;10</w:t>
            </w:r>
          </w:p>
        </w:tc>
        <w:tc>
          <w:tcPr>
            <w:tcW w:w="1276" w:type="dxa"/>
            <w:vAlign w:val="center"/>
          </w:tcPr>
          <w:p w14:paraId="19949709" w14:textId="01EBD666"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≤30</w:t>
            </w:r>
          </w:p>
        </w:tc>
        <w:tc>
          <w:tcPr>
            <w:tcW w:w="1418" w:type="dxa"/>
            <w:vAlign w:val="center"/>
          </w:tcPr>
          <w:p w14:paraId="7472F168"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≤30</w:t>
            </w:r>
          </w:p>
        </w:tc>
        <w:tc>
          <w:tcPr>
            <w:tcW w:w="1417" w:type="dxa"/>
            <w:vAlign w:val="center"/>
          </w:tcPr>
          <w:p w14:paraId="78A42B5F"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r w:rsidR="00386205" w:rsidRPr="00386205" w14:paraId="1F2E7774" w14:textId="77777777" w:rsidTr="0027300B">
        <w:trPr>
          <w:jc w:val="center"/>
        </w:trPr>
        <w:tc>
          <w:tcPr>
            <w:tcW w:w="2215" w:type="dxa"/>
            <w:vAlign w:val="center"/>
          </w:tcPr>
          <w:p w14:paraId="015D4470" w14:textId="77777777" w:rsidR="00691270" w:rsidRPr="0027300B" w:rsidRDefault="00691270"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Salmonella (in 25 g)</w:t>
            </w:r>
          </w:p>
        </w:tc>
        <w:tc>
          <w:tcPr>
            <w:tcW w:w="2316" w:type="dxa"/>
          </w:tcPr>
          <w:p w14:paraId="72172AFE" w14:textId="4EBF1F11"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276" w:type="dxa"/>
            <w:vAlign w:val="center"/>
          </w:tcPr>
          <w:p w14:paraId="7DD935DA"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418" w:type="dxa"/>
            <w:vAlign w:val="center"/>
          </w:tcPr>
          <w:p w14:paraId="10F3E103"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Negative</w:t>
            </w:r>
          </w:p>
        </w:tc>
        <w:tc>
          <w:tcPr>
            <w:tcW w:w="1417" w:type="dxa"/>
            <w:vAlign w:val="center"/>
          </w:tcPr>
          <w:p w14:paraId="770BEA75"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r w:rsidR="00386205" w:rsidRPr="00386205" w14:paraId="4358ABEE" w14:textId="77777777" w:rsidTr="0027300B">
        <w:trPr>
          <w:jc w:val="center"/>
        </w:trPr>
        <w:tc>
          <w:tcPr>
            <w:tcW w:w="2215" w:type="dxa"/>
            <w:vAlign w:val="center"/>
          </w:tcPr>
          <w:p w14:paraId="54A954D0" w14:textId="77777777" w:rsidR="00691270" w:rsidRPr="0027300B" w:rsidRDefault="00691270"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 xml:space="preserve">Enteropathic </w:t>
            </w:r>
            <w:r w:rsidRPr="0027300B">
              <w:rPr>
                <w:rFonts w:ascii="CIDFont+F1" w:hAnsi="CIDFont+F1" w:cs="CIDFont+F1"/>
                <w:i/>
                <w:sz w:val="20"/>
                <w:szCs w:val="22"/>
                <w:lang w:bidi="ar-SA"/>
              </w:rPr>
              <w:t>E. coli</w:t>
            </w:r>
            <w:r w:rsidRPr="0027300B">
              <w:rPr>
                <w:rFonts w:ascii="CIDFont+F1" w:hAnsi="CIDFont+F1" w:cs="CIDFont+F1"/>
                <w:sz w:val="20"/>
                <w:szCs w:val="22"/>
                <w:lang w:bidi="ar-SA"/>
              </w:rPr>
              <w:t xml:space="preserve"> (in 25 g)</w:t>
            </w:r>
          </w:p>
        </w:tc>
        <w:tc>
          <w:tcPr>
            <w:tcW w:w="2316" w:type="dxa"/>
          </w:tcPr>
          <w:p w14:paraId="7F2787D3" w14:textId="1F817ADF"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276" w:type="dxa"/>
            <w:vAlign w:val="center"/>
          </w:tcPr>
          <w:p w14:paraId="2A92A8CF" w14:textId="4F8CC2B2"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418" w:type="dxa"/>
            <w:vAlign w:val="center"/>
          </w:tcPr>
          <w:p w14:paraId="5762CA1D"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03F0AE3A"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r w:rsidR="00386205" w:rsidRPr="00386205" w14:paraId="229603E7" w14:textId="77777777" w:rsidTr="0027300B">
        <w:trPr>
          <w:jc w:val="center"/>
        </w:trPr>
        <w:tc>
          <w:tcPr>
            <w:tcW w:w="2215" w:type="dxa"/>
            <w:vAlign w:val="center"/>
          </w:tcPr>
          <w:p w14:paraId="3BC8A087" w14:textId="77777777" w:rsidR="00691270" w:rsidRPr="0027300B" w:rsidRDefault="00691270"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 xml:space="preserve">Antimicrobial activity </w:t>
            </w:r>
          </w:p>
        </w:tc>
        <w:tc>
          <w:tcPr>
            <w:tcW w:w="2316" w:type="dxa"/>
          </w:tcPr>
          <w:p w14:paraId="1AC3376F" w14:textId="70F1512E" w:rsidR="00691270"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276" w:type="dxa"/>
            <w:vAlign w:val="center"/>
          </w:tcPr>
          <w:p w14:paraId="4E324F60"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Absent</w:t>
            </w:r>
          </w:p>
        </w:tc>
        <w:tc>
          <w:tcPr>
            <w:tcW w:w="1418" w:type="dxa"/>
            <w:vAlign w:val="center"/>
          </w:tcPr>
          <w:p w14:paraId="7B1BFC99"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7BB67AE8" w14:textId="77777777" w:rsidR="00691270" w:rsidRPr="0027300B" w:rsidRDefault="00691270"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r w:rsidR="00CD0EE8" w:rsidRPr="002A6CA9" w14:paraId="232D20DA" w14:textId="77777777" w:rsidTr="0027300B">
        <w:trPr>
          <w:jc w:val="center"/>
        </w:trPr>
        <w:tc>
          <w:tcPr>
            <w:tcW w:w="2215" w:type="dxa"/>
            <w:vAlign w:val="center"/>
          </w:tcPr>
          <w:p w14:paraId="37A6F014" w14:textId="0DFB2CBB" w:rsidR="00CD0EE8" w:rsidRPr="0027300B" w:rsidRDefault="00CD0EE8"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Production organism</w:t>
            </w:r>
            <w:r w:rsidR="0027300B">
              <w:rPr>
                <w:rFonts w:ascii="CIDFont+F1" w:hAnsi="CIDFont+F1" w:cs="CIDFont+F1"/>
                <w:sz w:val="20"/>
                <w:szCs w:val="22"/>
                <w:vertAlign w:val="superscript"/>
                <w:lang w:bidi="ar-SA"/>
              </w:rPr>
              <w:t>2</w:t>
            </w:r>
          </w:p>
        </w:tc>
        <w:tc>
          <w:tcPr>
            <w:tcW w:w="2316" w:type="dxa"/>
          </w:tcPr>
          <w:p w14:paraId="1A550955" w14:textId="3D682083"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vertAlign w:val="superscript"/>
                <w:lang w:bidi="ar-SA"/>
              </w:rPr>
            </w:pPr>
            <w:r w:rsidRPr="0027300B">
              <w:rPr>
                <w:rFonts w:ascii="CIDFont+F1" w:hAnsi="CIDFont+F1" w:cs="CIDFont+F1"/>
                <w:sz w:val="20"/>
                <w:szCs w:val="22"/>
                <w:lang w:bidi="ar-SA"/>
              </w:rPr>
              <w:t>Absent</w:t>
            </w:r>
          </w:p>
        </w:tc>
        <w:tc>
          <w:tcPr>
            <w:tcW w:w="1276" w:type="dxa"/>
            <w:vAlign w:val="center"/>
          </w:tcPr>
          <w:p w14:paraId="4B53C218" w14:textId="05395B6B"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8" w:type="dxa"/>
            <w:vAlign w:val="center"/>
          </w:tcPr>
          <w:p w14:paraId="6749DFBE" w14:textId="70254B83"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181971BD" w14:textId="150727BE"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r w:rsidR="00CD0EE8" w:rsidRPr="002A6CA9" w14:paraId="06B21C48" w14:textId="77777777" w:rsidTr="0027300B">
        <w:trPr>
          <w:jc w:val="center"/>
        </w:trPr>
        <w:tc>
          <w:tcPr>
            <w:tcW w:w="2215" w:type="dxa"/>
            <w:vAlign w:val="center"/>
          </w:tcPr>
          <w:p w14:paraId="1889BC7B" w14:textId="34DF587D" w:rsidR="00CD0EE8" w:rsidRPr="0027300B" w:rsidRDefault="00CD0EE8" w:rsidP="0027300B">
            <w:pPr>
              <w:keepNext/>
              <w:keepLines/>
              <w:widowControl/>
              <w:autoSpaceDE w:val="0"/>
              <w:autoSpaceDN w:val="0"/>
              <w:adjustRightInd w:val="0"/>
              <w:spacing w:before="20" w:after="20"/>
              <w:rPr>
                <w:rFonts w:ascii="CIDFont+F1" w:hAnsi="CIDFont+F1" w:cs="CIDFont+F1"/>
                <w:sz w:val="20"/>
                <w:szCs w:val="22"/>
                <w:lang w:bidi="ar-SA"/>
              </w:rPr>
            </w:pPr>
            <w:r w:rsidRPr="0027300B">
              <w:rPr>
                <w:rFonts w:ascii="CIDFont+F1" w:hAnsi="CIDFont+F1" w:cs="CIDFont+F1"/>
                <w:sz w:val="20"/>
                <w:szCs w:val="22"/>
                <w:lang w:bidi="ar-SA"/>
              </w:rPr>
              <w:t>Recombinant DNA</w:t>
            </w:r>
            <w:r w:rsidR="0027300B">
              <w:rPr>
                <w:rFonts w:ascii="CIDFont+F1" w:hAnsi="CIDFont+F1" w:cs="CIDFont+F1"/>
                <w:sz w:val="20"/>
                <w:szCs w:val="22"/>
                <w:vertAlign w:val="superscript"/>
                <w:lang w:bidi="ar-SA"/>
              </w:rPr>
              <w:t>2</w:t>
            </w:r>
          </w:p>
        </w:tc>
        <w:tc>
          <w:tcPr>
            <w:tcW w:w="2316" w:type="dxa"/>
          </w:tcPr>
          <w:p w14:paraId="77108AC7" w14:textId="123711EE"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vertAlign w:val="superscript"/>
                <w:lang w:bidi="ar-SA"/>
              </w:rPr>
            </w:pPr>
            <w:r w:rsidRPr="0027300B">
              <w:rPr>
                <w:rFonts w:ascii="CIDFont+F1" w:hAnsi="CIDFont+F1" w:cs="CIDFont+F1"/>
                <w:sz w:val="20"/>
                <w:szCs w:val="22"/>
                <w:lang w:bidi="ar-SA"/>
              </w:rPr>
              <w:t>Absent</w:t>
            </w:r>
          </w:p>
        </w:tc>
        <w:tc>
          <w:tcPr>
            <w:tcW w:w="1276" w:type="dxa"/>
            <w:vAlign w:val="center"/>
          </w:tcPr>
          <w:p w14:paraId="50A8FB2A" w14:textId="7D288C4A"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8" w:type="dxa"/>
            <w:vAlign w:val="center"/>
          </w:tcPr>
          <w:p w14:paraId="7DB8524C" w14:textId="61CEC717"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c>
          <w:tcPr>
            <w:tcW w:w="1417" w:type="dxa"/>
            <w:vAlign w:val="center"/>
          </w:tcPr>
          <w:p w14:paraId="233A17DC" w14:textId="39D84D78" w:rsidR="00CD0EE8" w:rsidRPr="0027300B" w:rsidRDefault="00CD0EE8" w:rsidP="0027300B">
            <w:pPr>
              <w:keepNext/>
              <w:keepLines/>
              <w:widowControl/>
              <w:autoSpaceDE w:val="0"/>
              <w:autoSpaceDN w:val="0"/>
              <w:adjustRightInd w:val="0"/>
              <w:spacing w:before="20" w:after="20"/>
              <w:jc w:val="center"/>
              <w:rPr>
                <w:rFonts w:ascii="CIDFont+F1" w:hAnsi="CIDFont+F1" w:cs="CIDFont+F1"/>
                <w:sz w:val="20"/>
                <w:szCs w:val="22"/>
                <w:lang w:bidi="ar-SA"/>
              </w:rPr>
            </w:pPr>
            <w:r w:rsidRPr="0027300B">
              <w:rPr>
                <w:rFonts w:ascii="CIDFont+F1" w:hAnsi="CIDFont+F1" w:cs="CIDFont+F1"/>
                <w:sz w:val="20"/>
                <w:szCs w:val="22"/>
                <w:lang w:bidi="ar-SA"/>
              </w:rPr>
              <w:t>-</w:t>
            </w:r>
          </w:p>
        </w:tc>
      </w:tr>
    </w:tbl>
    <w:p w14:paraId="2EF7EE70" w14:textId="71373CEC" w:rsidR="00CD0EE8" w:rsidRPr="00D361EC" w:rsidRDefault="007A57FC" w:rsidP="00163B4D">
      <w:pPr>
        <w:keepNext/>
        <w:keepLines/>
        <w:widowControl/>
        <w:autoSpaceDE w:val="0"/>
        <w:autoSpaceDN w:val="0"/>
        <w:adjustRightInd w:val="0"/>
        <w:spacing w:before="40"/>
        <w:ind w:left="280"/>
        <w:rPr>
          <w:rFonts w:ascii="CIDFont+F1" w:eastAsia="Calibri" w:hAnsi="CIDFont+F1" w:cs="CIDFont+F1"/>
          <w:sz w:val="20"/>
          <w:szCs w:val="20"/>
          <w:lang w:bidi="ar-SA"/>
        </w:rPr>
      </w:pPr>
      <w:r w:rsidRPr="007A57FC">
        <w:rPr>
          <w:rFonts w:ascii="CIDFont+F1" w:eastAsia="Calibri" w:hAnsi="CIDFont+F1" w:cs="CIDFont+F1"/>
          <w:sz w:val="18"/>
          <w:szCs w:val="20"/>
          <w:lang w:bidi="ar-SA"/>
        </w:rPr>
        <w:t>1</w:t>
      </w:r>
      <w:r w:rsidR="0027300B">
        <w:rPr>
          <w:rFonts w:ascii="CIDFont+F1" w:eastAsia="Calibri" w:hAnsi="CIDFont+F1" w:cs="CIDFont+F1"/>
          <w:sz w:val="18"/>
          <w:szCs w:val="20"/>
          <w:lang w:bidi="ar-SA"/>
        </w:rPr>
        <w:t>. FCC – Food Chemical Codex; 2.</w:t>
      </w:r>
      <w:r w:rsidRPr="007A57FC">
        <w:rPr>
          <w:rFonts w:ascii="CIDFont+F1" w:eastAsia="Calibri" w:hAnsi="CIDFont+F1" w:cs="CIDFont+F1"/>
          <w:sz w:val="18"/>
          <w:szCs w:val="20"/>
          <w:lang w:bidi="ar-SA"/>
        </w:rPr>
        <w:t xml:space="preserve"> </w:t>
      </w:r>
      <w:r w:rsidR="002A6CA9" w:rsidRPr="007A57FC">
        <w:rPr>
          <w:rFonts w:ascii="CIDFont+F1" w:eastAsia="Calibri" w:hAnsi="CIDFont+F1" w:cs="CIDFont+F1"/>
          <w:sz w:val="18"/>
          <w:szCs w:val="20"/>
          <w:lang w:bidi="ar-SA"/>
        </w:rPr>
        <w:t xml:space="preserve">Stated in the application to comply with </w:t>
      </w:r>
      <w:r w:rsidR="00CD0EE8" w:rsidRPr="007A57FC">
        <w:rPr>
          <w:rFonts w:ascii="CIDFont+F1" w:eastAsia="Calibri" w:hAnsi="CIDFont+F1" w:cs="CIDFont+F1"/>
          <w:sz w:val="18"/>
          <w:szCs w:val="20"/>
          <w:lang w:bidi="ar-SA"/>
        </w:rPr>
        <w:t xml:space="preserve">European Food Safety Authority (EFSA) guidelines </w:t>
      </w:r>
    </w:p>
    <w:p w14:paraId="2DADB8DF" w14:textId="023D811C" w:rsidR="00CD0EE8" w:rsidRPr="00D361EC" w:rsidRDefault="00CD0EE8" w:rsidP="002A6CA9">
      <w:pPr>
        <w:autoSpaceDE w:val="0"/>
        <w:autoSpaceDN w:val="0"/>
        <w:adjustRightInd w:val="0"/>
        <w:rPr>
          <w:rFonts w:ascii="CIDFont+F1" w:eastAsia="Calibri" w:hAnsi="CIDFont+F1" w:cs="CIDFont+F1"/>
          <w:sz w:val="20"/>
          <w:szCs w:val="20"/>
          <w:lang w:bidi="ar-SA"/>
        </w:rPr>
      </w:pPr>
    </w:p>
    <w:p w14:paraId="0C8EC86C" w14:textId="442A3A97" w:rsidR="002A6CA9" w:rsidRDefault="002A6CA9" w:rsidP="002A6CA9">
      <w:pPr>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 xml:space="preserve">The application provided analytical results indicating that representative samples of the commercial enzyme preparations do not contain any of the production source microorganism or recombinant DNA. This is indicated to comply with EFSA guidelines, but these are not official specification requirements. </w:t>
      </w:r>
    </w:p>
    <w:p w14:paraId="27FC9F2F" w14:textId="77777777" w:rsidR="002A6CA9" w:rsidRPr="00691270" w:rsidRDefault="002A6CA9" w:rsidP="002A6CA9">
      <w:pPr>
        <w:autoSpaceDE w:val="0"/>
        <w:autoSpaceDN w:val="0"/>
        <w:adjustRightInd w:val="0"/>
        <w:rPr>
          <w:rFonts w:ascii="CIDFont+F1" w:eastAsia="Calibri" w:hAnsi="CIDFont+F1" w:cs="CIDFont+F1"/>
          <w:szCs w:val="22"/>
          <w:lang w:bidi="ar-SA"/>
        </w:rPr>
      </w:pPr>
    </w:p>
    <w:p w14:paraId="7026F23B" w14:textId="7CE791B3" w:rsidR="00250F95" w:rsidRPr="0007145B" w:rsidRDefault="00691270" w:rsidP="00691270">
      <w:pPr>
        <w:rPr>
          <w:lang w:eastAsia="en-AU" w:bidi="ar-SA"/>
        </w:rPr>
      </w:pPr>
      <w:r w:rsidRPr="0007145B">
        <w:rPr>
          <w:rFonts w:ascii="CIDFont+F1" w:eastAsia="Calibri" w:hAnsi="CIDFont+F1" w:cs="CIDFont+F1"/>
          <w:szCs w:val="22"/>
          <w:lang w:bidi="ar-SA"/>
        </w:rPr>
        <w:t>Based on the above results, the enzyme preparation meets international and Code specifications for enzymes used in food</w:t>
      </w:r>
      <w:r w:rsidR="00AC39B3" w:rsidRPr="0007145B">
        <w:rPr>
          <w:rFonts w:ascii="CIDFont+F1" w:eastAsia="Calibri" w:hAnsi="CIDFont+F1" w:cs="CIDFont+F1"/>
          <w:szCs w:val="22"/>
          <w:lang w:bidi="ar-SA"/>
        </w:rPr>
        <w:t xml:space="preserve"> production</w:t>
      </w:r>
      <w:r w:rsidRPr="0007145B">
        <w:rPr>
          <w:rFonts w:ascii="CIDFont+F1" w:eastAsia="Calibri" w:hAnsi="CIDFont+F1" w:cs="CIDFont+F1"/>
          <w:szCs w:val="22"/>
          <w:lang w:bidi="ar-SA"/>
        </w:rPr>
        <w:t>.</w:t>
      </w:r>
    </w:p>
    <w:p w14:paraId="6F9DB7B3" w14:textId="595865D8" w:rsidR="00250F95" w:rsidRDefault="00250F95" w:rsidP="00223913">
      <w:pPr>
        <w:pStyle w:val="Heading2"/>
      </w:pPr>
      <w:bookmarkStart w:id="13" w:name="_Toc59030970"/>
      <w:r>
        <w:t>2.</w:t>
      </w:r>
      <w:r w:rsidR="00223913">
        <w:t>3</w:t>
      </w:r>
      <w:r>
        <w:tab/>
        <w:t>Technological purpose of the enzyme</w:t>
      </w:r>
      <w:bookmarkEnd w:id="13"/>
    </w:p>
    <w:p w14:paraId="32523D80" w14:textId="77777777" w:rsidR="008D16C4" w:rsidRPr="008D16C4" w:rsidRDefault="00250F95" w:rsidP="00250F95">
      <w:r w:rsidRPr="008D16C4">
        <w:rPr>
          <w:lang w:eastAsia="en-AU" w:bidi="ar-SA"/>
        </w:rPr>
        <w:t xml:space="preserve">The technological purpose of this </w:t>
      </w:r>
      <w:r w:rsidRPr="008D16C4">
        <w:t xml:space="preserve">enzyme is similar to that of other already permitted forms of the enzyme, in that it will be used in the manufacture of bakery products. </w:t>
      </w:r>
      <w:r w:rsidR="002A6CA9" w:rsidRPr="008D16C4">
        <w:t>Its purpose as a processing aid during the baking process is to reduce crumb firmness and staling in bread and other bakery products</w:t>
      </w:r>
      <w:r w:rsidR="008D16C4" w:rsidRPr="008D16C4">
        <w:t>, thereby improving the quality and shelf life of these products.</w:t>
      </w:r>
    </w:p>
    <w:p w14:paraId="7415A6BF" w14:textId="5CC6F99E" w:rsidR="008D16C4" w:rsidRPr="008D16C4" w:rsidRDefault="008D16C4" w:rsidP="00250F95"/>
    <w:p w14:paraId="58630AFF" w14:textId="37ED7C2C" w:rsidR="008D16C4" w:rsidRPr="008D16C4" w:rsidRDefault="008D16C4" w:rsidP="00250F95">
      <w:r>
        <w:t xml:space="preserve">As identified by the IUBMB </w:t>
      </w:r>
      <w:r w:rsidR="004B0EC3">
        <w:t xml:space="preserve">(2017) </w:t>
      </w:r>
      <w:r w:rsidR="00262F44">
        <w:t xml:space="preserve">maltogenic alpha-amylase catalyses the hydrolysis of 1-4-alpha-glucosidic linkages in polysaccharides to remove successive alpha-maltose residues from the non-reducing ends of these chains. In the baking process the action of the enzyme produces smaller molecules, being mainly maltose. The formation of molecules of smaller chain lengths interrupts the usual staling process of the formation of a stable network structure that increases crumb firmness, as an indicator of staling. </w:t>
      </w:r>
    </w:p>
    <w:p w14:paraId="7BC99675" w14:textId="77777777" w:rsidR="00250F95" w:rsidRPr="008D16C4" w:rsidRDefault="00250F95" w:rsidP="00250F95"/>
    <w:p w14:paraId="66D4357C" w14:textId="699C6A06" w:rsidR="00250F95" w:rsidRDefault="00250F95" w:rsidP="00223913">
      <w:pPr>
        <w:pStyle w:val="Heading2"/>
      </w:pPr>
      <w:bookmarkStart w:id="14" w:name="_Toc59030971"/>
      <w:r>
        <w:lastRenderedPageBreak/>
        <w:t>2.</w:t>
      </w:r>
      <w:r w:rsidR="00223913">
        <w:t>4</w:t>
      </w:r>
      <w:r>
        <w:tab/>
        <w:t>Technological justification of the enzyme</w:t>
      </w:r>
      <w:bookmarkEnd w:id="14"/>
    </w:p>
    <w:p w14:paraId="7614CD68" w14:textId="6A8D865C" w:rsidR="00250F95" w:rsidRDefault="00250F95" w:rsidP="00250F95">
      <w:pPr>
        <w:rPr>
          <w:lang w:eastAsia="en-AU" w:bidi="ar-SA"/>
        </w:rPr>
      </w:pPr>
      <w:r>
        <w:rPr>
          <w:lang w:eastAsia="en-AU" w:bidi="ar-SA"/>
        </w:rPr>
        <w:t xml:space="preserve">Information was provided in the </w:t>
      </w:r>
      <w:r w:rsidR="00D361EC">
        <w:rPr>
          <w:lang w:eastAsia="en-AU" w:bidi="ar-SA"/>
        </w:rPr>
        <w:t>confidential commercial information section of the a</w:t>
      </w:r>
      <w:r>
        <w:rPr>
          <w:lang w:eastAsia="en-AU" w:bidi="ar-SA"/>
        </w:rPr>
        <w:t xml:space="preserve">pplication supporting the benefits </w:t>
      </w:r>
      <w:r w:rsidR="00D361EC">
        <w:rPr>
          <w:lang w:eastAsia="en-AU" w:bidi="ar-SA"/>
        </w:rPr>
        <w:t xml:space="preserve">and technological justification </w:t>
      </w:r>
      <w:r>
        <w:rPr>
          <w:lang w:eastAsia="en-AU" w:bidi="ar-SA"/>
        </w:rPr>
        <w:t>of using the enzyme in the baking industr</w:t>
      </w:r>
      <w:r w:rsidR="00223913">
        <w:rPr>
          <w:lang w:eastAsia="en-AU" w:bidi="ar-SA"/>
        </w:rPr>
        <w:t>y</w:t>
      </w:r>
      <w:r w:rsidR="00D361EC">
        <w:rPr>
          <w:lang w:eastAsia="en-AU" w:bidi="ar-SA"/>
        </w:rPr>
        <w:t xml:space="preserve"> to reduce staling of the produced bread (or other bakery products)</w:t>
      </w:r>
      <w:r>
        <w:rPr>
          <w:lang w:eastAsia="en-AU" w:bidi="ar-SA"/>
        </w:rPr>
        <w:t xml:space="preserve">. </w:t>
      </w:r>
      <w:r w:rsidR="00757375">
        <w:rPr>
          <w:lang w:eastAsia="en-AU" w:bidi="ar-SA"/>
        </w:rPr>
        <w:t xml:space="preserve">The details of </w:t>
      </w:r>
      <w:r w:rsidR="008C5904">
        <w:rPr>
          <w:lang w:eastAsia="en-AU" w:bidi="ar-SA"/>
        </w:rPr>
        <w:t xml:space="preserve">a </w:t>
      </w:r>
      <w:r w:rsidR="00757375">
        <w:rPr>
          <w:lang w:eastAsia="en-AU" w:bidi="ar-SA"/>
        </w:rPr>
        <w:t xml:space="preserve">study assessing the impact on reducing staling of the produced bread using the applicant’s enzyme compared to a control without using any enzyme and an alternative version of the enzyme </w:t>
      </w:r>
      <w:r w:rsidR="008C5904">
        <w:rPr>
          <w:lang w:eastAsia="en-AU" w:bidi="ar-SA"/>
        </w:rPr>
        <w:t>were reviewed</w:t>
      </w:r>
      <w:r w:rsidR="00757375">
        <w:rPr>
          <w:lang w:eastAsia="en-AU" w:bidi="ar-SA"/>
        </w:rPr>
        <w:t xml:space="preserve">. </w:t>
      </w:r>
      <w:r w:rsidR="00D361EC">
        <w:rPr>
          <w:lang w:eastAsia="en-AU" w:bidi="ar-SA"/>
        </w:rPr>
        <w:t xml:space="preserve">The parameters assessed </w:t>
      </w:r>
      <w:r w:rsidR="008C5904">
        <w:rPr>
          <w:lang w:eastAsia="en-AU" w:bidi="ar-SA"/>
        </w:rPr>
        <w:t xml:space="preserve">were </w:t>
      </w:r>
      <w:r w:rsidR="00D361EC">
        <w:rPr>
          <w:lang w:eastAsia="en-AU" w:bidi="ar-SA"/>
        </w:rPr>
        <w:t xml:space="preserve">crumb firmness and crumb resilience. The assessment concludes that both enzymes provided improved performance compared to the control produced without use of an enzyme. The results for all the different time points and the two parameters indicated </w:t>
      </w:r>
      <w:r w:rsidR="00F00B9A">
        <w:rPr>
          <w:lang w:eastAsia="en-AU" w:bidi="ar-SA"/>
        </w:rPr>
        <w:t xml:space="preserve">the applicant’s enzyme </w:t>
      </w:r>
      <w:r w:rsidR="00926D01">
        <w:rPr>
          <w:lang w:eastAsia="en-AU" w:bidi="ar-SA"/>
        </w:rPr>
        <w:t>had</w:t>
      </w:r>
      <w:r w:rsidR="00F00B9A">
        <w:rPr>
          <w:lang w:eastAsia="en-AU" w:bidi="ar-SA"/>
        </w:rPr>
        <w:t xml:space="preserve"> </w:t>
      </w:r>
      <w:r w:rsidR="00926D01">
        <w:rPr>
          <w:lang w:eastAsia="en-AU" w:bidi="ar-SA"/>
        </w:rPr>
        <w:t xml:space="preserve">comparable performance to the competitor’s enzyme, some were </w:t>
      </w:r>
      <w:r w:rsidR="00F00B9A">
        <w:rPr>
          <w:lang w:eastAsia="en-AU" w:bidi="ar-SA"/>
        </w:rPr>
        <w:t xml:space="preserve">slightly better and </w:t>
      </w:r>
      <w:r w:rsidR="00926D01">
        <w:rPr>
          <w:lang w:eastAsia="en-AU" w:bidi="ar-SA"/>
        </w:rPr>
        <w:t xml:space="preserve">others </w:t>
      </w:r>
      <w:r w:rsidR="00F00B9A">
        <w:rPr>
          <w:lang w:eastAsia="en-AU" w:bidi="ar-SA"/>
        </w:rPr>
        <w:t>slightly worse</w:t>
      </w:r>
      <w:r w:rsidR="00926D01">
        <w:rPr>
          <w:lang w:eastAsia="en-AU" w:bidi="ar-SA"/>
        </w:rPr>
        <w:t>.</w:t>
      </w:r>
      <w:r w:rsidR="00D361EC">
        <w:rPr>
          <w:lang w:eastAsia="en-AU" w:bidi="ar-SA"/>
        </w:rPr>
        <w:t xml:space="preserve"> However after the full 2 weeks storage the applicant’s performance was slightly better than the competitor’s. </w:t>
      </w:r>
    </w:p>
    <w:p w14:paraId="4268639C" w14:textId="288EEC34" w:rsidR="001F30E1" w:rsidRDefault="001F30E1" w:rsidP="00250F95">
      <w:pPr>
        <w:rPr>
          <w:lang w:eastAsia="en-AU" w:bidi="ar-SA"/>
        </w:rPr>
      </w:pPr>
    </w:p>
    <w:p w14:paraId="0E084AB4" w14:textId="2336D658" w:rsidR="001F30E1" w:rsidRDefault="001F30E1" w:rsidP="00250F95">
      <w:pPr>
        <w:rPr>
          <w:lang w:eastAsia="en-AU" w:bidi="ar-SA"/>
        </w:rPr>
      </w:pPr>
      <w:r>
        <w:rPr>
          <w:lang w:eastAsia="en-AU" w:bidi="ar-SA"/>
        </w:rPr>
        <w:t>Ultimately it would be up to the end food producers to determine if the enzyme is of value to their production process and for their products. Various commercial considerations will also be important for any decisions.</w:t>
      </w:r>
    </w:p>
    <w:p w14:paraId="7855AD6F" w14:textId="3AA82EEC" w:rsidR="001E6A7B" w:rsidRDefault="001E6A7B" w:rsidP="00BD59CB">
      <w:pPr>
        <w:pStyle w:val="Heading2"/>
      </w:pPr>
      <w:bookmarkStart w:id="15" w:name="_Toc472327053"/>
      <w:bookmarkStart w:id="16" w:name="_Toc501699827"/>
      <w:bookmarkStart w:id="17" w:name="_Toc59030972"/>
      <w:r>
        <w:t>2.3</w:t>
      </w:r>
      <w:r>
        <w:tab/>
        <w:t>Food technology conclusion</w:t>
      </w:r>
      <w:bookmarkEnd w:id="15"/>
      <w:bookmarkEnd w:id="16"/>
      <w:bookmarkEnd w:id="17"/>
    </w:p>
    <w:p w14:paraId="12B053BB" w14:textId="6DE469CE" w:rsidR="00E53537" w:rsidRPr="00F00B9A" w:rsidRDefault="00D41CB3" w:rsidP="00E53537">
      <w:r>
        <w:t>The proposed</w:t>
      </w:r>
      <w:r w:rsidR="00E53537" w:rsidRPr="00F00B9A">
        <w:t xml:space="preserve"> use </w:t>
      </w:r>
      <w:r>
        <w:t xml:space="preserve">is </w:t>
      </w:r>
      <w:r w:rsidR="00E53537" w:rsidRPr="00F00B9A">
        <w:t xml:space="preserve">as a processing aid in the manufacture of bakery </w:t>
      </w:r>
      <w:r w:rsidR="000C15B0" w:rsidRPr="00F00B9A">
        <w:t>products</w:t>
      </w:r>
      <w:r w:rsidR="00F00B9A" w:rsidRPr="00F00B9A">
        <w:t xml:space="preserve"> to assist in limiting staling of the produced product and so improve the quality and shelf life of the baked product</w:t>
      </w:r>
      <w:r w:rsidR="00E53537" w:rsidRPr="00F00B9A">
        <w:t xml:space="preserve">. </w:t>
      </w:r>
      <w:r>
        <w:t>FSANZ concludes that t</w:t>
      </w:r>
      <w:r w:rsidR="00E53537" w:rsidRPr="00F00B9A">
        <w:t>he evidence presented to support the proposed use</w:t>
      </w:r>
      <w:r w:rsidRPr="00D41CB3">
        <w:t xml:space="preserve"> </w:t>
      </w:r>
      <w:r w:rsidR="00E53537" w:rsidRPr="00F00B9A">
        <w:t>provides adequate assurance that the enzyme, in the form and prescribed amounts, is technologically justified and has been demonstrated to be effective in achieving its stated purpose. The enzyme performs its technological purpose during production and manufacture of foods after which it is inactivated thereby not performing a technological function in the final food.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18" w:name="_Toc505255637"/>
      <w:bookmarkStart w:id="19" w:name="_Toc59030973"/>
      <w:r w:rsidRPr="001E6A7B">
        <w:t>3</w:t>
      </w:r>
      <w:r w:rsidR="00BD59CB">
        <w:tab/>
      </w:r>
      <w:r w:rsidRPr="001E6A7B">
        <w:t>Safety assessment</w:t>
      </w:r>
      <w:bookmarkStart w:id="20" w:name="_Toc471740081"/>
      <w:bookmarkStart w:id="21" w:name="_Toc499282437"/>
      <w:bookmarkEnd w:id="18"/>
      <w:bookmarkEnd w:id="19"/>
    </w:p>
    <w:p w14:paraId="3D6D4F4C" w14:textId="4FC25F32" w:rsidR="00CA3849" w:rsidRPr="006C2969" w:rsidRDefault="00CA3849" w:rsidP="00BD59CB">
      <w:pPr>
        <w:pStyle w:val="Heading2"/>
      </w:pPr>
      <w:bookmarkStart w:id="22" w:name="_Toc471740085"/>
      <w:bookmarkStart w:id="23" w:name="_Toc499282440"/>
      <w:bookmarkStart w:id="24" w:name="_Toc505255639"/>
      <w:bookmarkStart w:id="25" w:name="_Toc59030974"/>
      <w:bookmarkEnd w:id="20"/>
      <w:bookmarkEnd w:id="21"/>
      <w:r w:rsidRPr="006C2969">
        <w:t>3.</w:t>
      </w:r>
      <w:bookmarkEnd w:id="22"/>
      <w:r w:rsidR="00DB15BB">
        <w:t>1</w:t>
      </w:r>
      <w:r w:rsidR="001E6A7B">
        <w:tab/>
      </w:r>
      <w:r w:rsidRPr="006C2969">
        <w:t>History of use</w:t>
      </w:r>
      <w:bookmarkEnd w:id="23"/>
      <w:bookmarkEnd w:id="24"/>
      <w:bookmarkEnd w:id="25"/>
    </w:p>
    <w:p w14:paraId="2587F027" w14:textId="68211490" w:rsidR="00CA3849" w:rsidRPr="006859D6" w:rsidRDefault="00DB15BB" w:rsidP="009925D0">
      <w:pPr>
        <w:pStyle w:val="Heading3"/>
      </w:pPr>
      <w:bookmarkStart w:id="26" w:name="_Toc498940968"/>
      <w:bookmarkStart w:id="27" w:name="_Toc499282441"/>
      <w:r>
        <w:t>3.1</w:t>
      </w:r>
      <w:r w:rsidR="00CA3849" w:rsidRPr="006859D6">
        <w:t>.1</w:t>
      </w:r>
      <w:r w:rsidR="0035149D" w:rsidRPr="006859D6">
        <w:tab/>
      </w:r>
      <w:r w:rsidR="00CA3849" w:rsidRPr="006859D6">
        <w:t>Host organism</w:t>
      </w:r>
      <w:bookmarkEnd w:id="26"/>
      <w:bookmarkEnd w:id="27"/>
      <w:r w:rsidR="00CA3849" w:rsidRPr="006859D6">
        <w:t xml:space="preserve"> </w:t>
      </w:r>
    </w:p>
    <w:p w14:paraId="7C34CB35" w14:textId="75DE6174" w:rsidR="0084428C" w:rsidRDefault="0019100F" w:rsidP="0084428C">
      <w:pPr>
        <w:rPr>
          <w:rFonts w:ascii="Calibri-Italic" w:hAnsi="Calibri-Italic" w:cs="Calibri-Italic"/>
          <w:iCs/>
          <w:szCs w:val="22"/>
          <w:lang w:eastAsia="en-GB" w:bidi="ar-SA"/>
        </w:rPr>
      </w:pPr>
      <w:r>
        <w:rPr>
          <w:rFonts w:ascii="Calibri-Italic" w:hAnsi="Calibri-Italic" w:cs="Calibri-Italic"/>
          <w:i/>
          <w:iCs/>
          <w:szCs w:val="22"/>
          <w:lang w:eastAsia="en-GB" w:bidi="ar-SA"/>
        </w:rPr>
        <w:t>Saccharomyces cerevisiae</w:t>
      </w:r>
      <w:r w:rsidR="002C447B" w:rsidRPr="002C447B">
        <w:rPr>
          <w:rFonts w:ascii="Calibri-Italic" w:hAnsi="Calibri-Italic" w:cs="Calibri-Italic"/>
          <w:iCs/>
          <w:szCs w:val="22"/>
          <w:lang w:eastAsia="en-GB" w:bidi="ar-SA"/>
        </w:rPr>
        <w:t>, also known as Baker’s yeast</w:t>
      </w:r>
      <w:r w:rsidR="00C73EFE">
        <w:rPr>
          <w:rFonts w:ascii="Calibri-Italic" w:hAnsi="Calibri-Italic" w:cs="Calibri-Italic"/>
          <w:iCs/>
          <w:szCs w:val="22"/>
          <w:lang w:eastAsia="en-GB" w:bidi="ar-SA"/>
        </w:rPr>
        <w:t>,</w:t>
      </w:r>
      <w:r w:rsidR="002C447B" w:rsidRPr="002C447B">
        <w:rPr>
          <w:rFonts w:ascii="Calibri-Italic" w:hAnsi="Calibri-Italic" w:cs="Calibri-Italic"/>
          <w:iCs/>
          <w:szCs w:val="22"/>
          <w:lang w:eastAsia="en-GB" w:bidi="ar-SA"/>
        </w:rPr>
        <w:t xml:space="preserve"> </w:t>
      </w:r>
      <w:r w:rsidR="002C447B">
        <w:rPr>
          <w:rFonts w:ascii="Calibri-Italic" w:hAnsi="Calibri-Italic" w:cs="Calibri-Italic"/>
          <w:iCs/>
          <w:szCs w:val="22"/>
          <w:lang w:eastAsia="en-GB" w:bidi="ar-SA"/>
        </w:rPr>
        <w:t xml:space="preserve">has a long history of use in food production. </w:t>
      </w:r>
      <w:r w:rsidR="0084428C" w:rsidRPr="001808F7">
        <w:rPr>
          <w:rFonts w:ascii="Calibri-Italic" w:hAnsi="Calibri-Italic" w:cs="Calibri-Italic"/>
          <w:i/>
          <w:iCs/>
          <w:szCs w:val="22"/>
          <w:lang w:eastAsia="en-GB" w:bidi="ar-SA"/>
        </w:rPr>
        <w:t>S</w:t>
      </w:r>
      <w:r w:rsidR="0084428C" w:rsidRPr="0084428C">
        <w:rPr>
          <w:rFonts w:ascii="Calibri-Italic" w:hAnsi="Calibri-Italic" w:cs="Calibri-Italic"/>
          <w:iCs/>
          <w:szCs w:val="22"/>
          <w:lang w:eastAsia="en-GB" w:bidi="ar-SA"/>
        </w:rPr>
        <w:t xml:space="preserve">. </w:t>
      </w:r>
      <w:r w:rsidR="0084428C" w:rsidRPr="001808F7">
        <w:rPr>
          <w:rFonts w:ascii="Calibri-Italic" w:hAnsi="Calibri-Italic" w:cs="Calibri-Italic"/>
          <w:i/>
          <w:iCs/>
          <w:szCs w:val="22"/>
          <w:lang w:eastAsia="en-GB" w:bidi="ar-SA"/>
        </w:rPr>
        <w:t>cerevisiae</w:t>
      </w:r>
      <w:r w:rsidR="0084428C" w:rsidRPr="0084428C">
        <w:rPr>
          <w:rFonts w:ascii="Calibri-Italic" w:hAnsi="Calibri-Italic" w:cs="Calibri-Italic"/>
          <w:iCs/>
          <w:szCs w:val="22"/>
          <w:lang w:eastAsia="en-GB" w:bidi="ar-SA"/>
        </w:rPr>
        <w:t xml:space="preserve"> is a n</w:t>
      </w:r>
      <w:r w:rsidR="0084428C">
        <w:rPr>
          <w:rFonts w:ascii="Calibri-Italic" w:hAnsi="Calibri-Italic" w:cs="Calibri-Italic"/>
          <w:iCs/>
          <w:szCs w:val="22"/>
          <w:lang w:eastAsia="en-GB" w:bidi="ar-SA"/>
        </w:rPr>
        <w:t xml:space="preserve">on-pathogenic and non-toxigenic </w:t>
      </w:r>
      <w:r w:rsidR="0084428C" w:rsidRPr="0084428C">
        <w:rPr>
          <w:rFonts w:ascii="Calibri-Italic" w:hAnsi="Calibri-Italic" w:cs="Calibri-Italic"/>
          <w:iCs/>
          <w:szCs w:val="22"/>
          <w:lang w:eastAsia="en-GB" w:bidi="ar-SA"/>
        </w:rPr>
        <w:t>species</w:t>
      </w:r>
      <w:r w:rsidR="0084428C">
        <w:rPr>
          <w:rFonts w:ascii="Calibri-Italic" w:hAnsi="Calibri-Italic" w:cs="Calibri-Italic"/>
          <w:iCs/>
          <w:szCs w:val="22"/>
          <w:lang w:eastAsia="en-GB" w:bidi="ar-SA"/>
        </w:rPr>
        <w:t xml:space="preserve">. The unmodified parent yeast strain is used in the commercial baking industry for bread production. </w:t>
      </w:r>
    </w:p>
    <w:p w14:paraId="4FAEF84A" w14:textId="1F01ABBD" w:rsidR="0084428C" w:rsidRDefault="0084428C" w:rsidP="0084428C">
      <w:pPr>
        <w:rPr>
          <w:rFonts w:ascii="Calibri-Italic" w:hAnsi="Calibri-Italic" w:cs="Calibri-Italic"/>
          <w:iCs/>
          <w:szCs w:val="22"/>
          <w:lang w:eastAsia="en-GB" w:bidi="ar-SA"/>
        </w:rPr>
      </w:pPr>
    </w:p>
    <w:p w14:paraId="1E26315A" w14:textId="65BFA5F9" w:rsidR="001808F7" w:rsidRPr="001808F7" w:rsidRDefault="001808F7" w:rsidP="0084428C">
      <w:pPr>
        <w:rPr>
          <w:rFonts w:ascii="Calibri-Italic" w:hAnsi="Calibri-Italic" w:cs="Calibri-Italic"/>
          <w:iCs/>
          <w:szCs w:val="22"/>
          <w:lang w:eastAsia="en-GB" w:bidi="ar-SA"/>
        </w:rPr>
      </w:pPr>
      <w:r>
        <w:rPr>
          <w:rFonts w:ascii="Calibri-Italic" w:hAnsi="Calibri-Italic" w:cs="Calibri-Italic"/>
          <w:iCs/>
          <w:szCs w:val="22"/>
          <w:lang w:eastAsia="en-GB" w:bidi="ar-SA"/>
        </w:rPr>
        <w:t xml:space="preserve">The production strain </w:t>
      </w:r>
      <w:r w:rsidR="00C1685F">
        <w:rPr>
          <w:rFonts w:ascii="Calibri-Italic" w:hAnsi="Calibri-Italic" w:cs="Calibri-Italic"/>
          <w:iCs/>
          <w:szCs w:val="22"/>
          <w:lang w:eastAsia="en-GB" w:bidi="ar-SA"/>
        </w:rPr>
        <w:t xml:space="preserve">taxonomy </w:t>
      </w:r>
      <w:r>
        <w:rPr>
          <w:rFonts w:ascii="Calibri-Italic" w:hAnsi="Calibri-Italic" w:cs="Calibri-Italic"/>
          <w:iCs/>
          <w:szCs w:val="22"/>
          <w:lang w:eastAsia="en-GB" w:bidi="ar-SA"/>
        </w:rPr>
        <w:t xml:space="preserve">has been confirmed as </w:t>
      </w:r>
      <w:r w:rsidRPr="001808F7">
        <w:rPr>
          <w:rFonts w:ascii="Calibri-Italic" w:hAnsi="Calibri-Italic" w:cs="Calibri-Italic"/>
          <w:i/>
          <w:iCs/>
          <w:szCs w:val="22"/>
          <w:lang w:eastAsia="en-GB" w:bidi="ar-SA"/>
        </w:rPr>
        <w:t>S</w:t>
      </w:r>
      <w:r w:rsidRPr="0084428C">
        <w:rPr>
          <w:rFonts w:ascii="Calibri-Italic" w:hAnsi="Calibri-Italic" w:cs="Calibri-Italic"/>
          <w:iCs/>
          <w:szCs w:val="22"/>
          <w:lang w:eastAsia="en-GB" w:bidi="ar-SA"/>
        </w:rPr>
        <w:t xml:space="preserve">. </w:t>
      </w:r>
      <w:r w:rsidRPr="001808F7">
        <w:rPr>
          <w:rFonts w:ascii="Calibri-Italic" w:hAnsi="Calibri-Italic" w:cs="Calibri-Italic"/>
          <w:i/>
          <w:iCs/>
          <w:szCs w:val="22"/>
          <w:lang w:eastAsia="en-GB" w:bidi="ar-SA"/>
        </w:rPr>
        <w:t>cerevisiae</w:t>
      </w:r>
      <w:r>
        <w:rPr>
          <w:rFonts w:ascii="Calibri-Italic" w:hAnsi="Calibri-Italic" w:cs="Calibri-Italic"/>
          <w:iCs/>
          <w:szCs w:val="22"/>
          <w:lang w:eastAsia="en-GB" w:bidi="ar-SA"/>
        </w:rPr>
        <w:t xml:space="preserve"> using </w:t>
      </w:r>
      <w:r w:rsidR="00522449">
        <w:rPr>
          <w:rFonts w:ascii="Calibri-Italic" w:hAnsi="Calibri-Italic" w:cs="Calibri-Italic"/>
          <w:iCs/>
          <w:szCs w:val="22"/>
          <w:lang w:eastAsia="en-GB" w:bidi="ar-SA"/>
        </w:rPr>
        <w:t>w</w:t>
      </w:r>
      <w:r>
        <w:rPr>
          <w:rFonts w:ascii="Calibri-Italic" w:hAnsi="Calibri-Italic" w:cs="Calibri-Italic"/>
          <w:iCs/>
          <w:szCs w:val="22"/>
          <w:lang w:eastAsia="en-GB" w:bidi="ar-SA"/>
        </w:rPr>
        <w:t xml:space="preserve">hole </w:t>
      </w:r>
      <w:r w:rsidR="00522449">
        <w:rPr>
          <w:rFonts w:ascii="Calibri-Italic" w:hAnsi="Calibri-Italic" w:cs="Calibri-Italic"/>
          <w:iCs/>
          <w:szCs w:val="22"/>
          <w:lang w:eastAsia="en-GB" w:bidi="ar-SA"/>
        </w:rPr>
        <w:t>g</w:t>
      </w:r>
      <w:r>
        <w:rPr>
          <w:rFonts w:ascii="Calibri-Italic" w:hAnsi="Calibri-Italic" w:cs="Calibri-Italic"/>
          <w:iCs/>
          <w:szCs w:val="22"/>
          <w:lang w:eastAsia="en-GB" w:bidi="ar-SA"/>
        </w:rPr>
        <w:t xml:space="preserve">enome </w:t>
      </w:r>
      <w:r w:rsidR="00522449">
        <w:rPr>
          <w:rFonts w:ascii="Calibri-Italic" w:hAnsi="Calibri-Italic" w:cs="Calibri-Italic"/>
          <w:iCs/>
          <w:szCs w:val="22"/>
          <w:lang w:eastAsia="en-GB" w:bidi="ar-SA"/>
        </w:rPr>
        <w:t>s</w:t>
      </w:r>
      <w:r>
        <w:rPr>
          <w:rFonts w:ascii="Calibri-Italic" w:hAnsi="Calibri-Italic" w:cs="Calibri-Italic"/>
          <w:iCs/>
          <w:szCs w:val="22"/>
          <w:lang w:eastAsia="en-GB" w:bidi="ar-SA"/>
        </w:rPr>
        <w:t xml:space="preserve">equencing (WGS) analysis. WGS was also used to </w:t>
      </w:r>
      <w:r w:rsidR="00522449">
        <w:rPr>
          <w:rFonts w:ascii="Calibri-Italic" w:hAnsi="Calibri-Italic" w:cs="Calibri-Italic"/>
          <w:iCs/>
          <w:szCs w:val="22"/>
          <w:lang w:eastAsia="en-GB" w:bidi="ar-SA"/>
        </w:rPr>
        <w:t>confirm</w:t>
      </w:r>
      <w:r>
        <w:rPr>
          <w:rFonts w:ascii="Calibri-Italic" w:hAnsi="Calibri-Italic" w:cs="Calibri-Italic"/>
          <w:iCs/>
          <w:szCs w:val="22"/>
          <w:lang w:eastAsia="en-GB" w:bidi="ar-SA"/>
        </w:rPr>
        <w:t xml:space="preserve"> </w:t>
      </w:r>
      <w:r>
        <w:rPr>
          <w:rFonts w:ascii="Calibri-Italic" w:hAnsi="Calibri-Italic" w:cs="Calibri-Italic"/>
          <w:iCs/>
          <w:szCs w:val="22"/>
          <w:lang w:eastAsia="en-GB" w:bidi="ar-SA"/>
        </w:rPr>
        <w:lastRenderedPageBreak/>
        <w:t xml:space="preserve">the </w:t>
      </w:r>
      <w:r w:rsidR="00522449">
        <w:rPr>
          <w:rFonts w:ascii="Calibri-Italic" w:hAnsi="Calibri-Italic" w:cs="Calibri-Italic"/>
          <w:iCs/>
          <w:szCs w:val="22"/>
          <w:lang w:eastAsia="en-GB" w:bidi="ar-SA"/>
        </w:rPr>
        <w:t>absence</w:t>
      </w:r>
      <w:r>
        <w:rPr>
          <w:rFonts w:ascii="Calibri-Italic" w:hAnsi="Calibri-Italic" w:cs="Calibri-Italic"/>
          <w:iCs/>
          <w:szCs w:val="22"/>
          <w:lang w:eastAsia="en-GB" w:bidi="ar-SA"/>
        </w:rPr>
        <w:t xml:space="preserve"> of virulence factors, antimicrobial resistance genes </w:t>
      </w:r>
      <w:r w:rsidR="00522449">
        <w:rPr>
          <w:rFonts w:ascii="Calibri-Italic" w:hAnsi="Calibri-Italic" w:cs="Calibri-Italic"/>
          <w:iCs/>
          <w:szCs w:val="22"/>
          <w:lang w:eastAsia="en-GB" w:bidi="ar-SA"/>
        </w:rPr>
        <w:t>and</w:t>
      </w:r>
      <w:r>
        <w:rPr>
          <w:rFonts w:ascii="Calibri-Italic" w:hAnsi="Calibri-Italic" w:cs="Calibri-Italic"/>
          <w:iCs/>
          <w:szCs w:val="22"/>
          <w:lang w:eastAsia="en-GB" w:bidi="ar-SA"/>
        </w:rPr>
        <w:t xml:space="preserve"> plasmids. Additional phenotypic AMR testing was performed to confirm the WGS findings using a set of four antibiotics: </w:t>
      </w:r>
      <w:r w:rsidRPr="001808F7">
        <w:rPr>
          <w:rFonts w:ascii="Calibri-Italic" w:hAnsi="Calibri-Italic" w:cs="Calibri-Italic"/>
          <w:iCs/>
          <w:szCs w:val="22"/>
          <w:lang w:eastAsia="en-GB" w:bidi="ar-SA"/>
        </w:rPr>
        <w:t>hygromycin</w:t>
      </w:r>
      <w:r>
        <w:rPr>
          <w:rFonts w:ascii="Calibri-Italic" w:hAnsi="Calibri-Italic" w:cs="Calibri-Italic"/>
          <w:iCs/>
          <w:szCs w:val="22"/>
          <w:lang w:eastAsia="en-GB" w:bidi="ar-SA"/>
        </w:rPr>
        <w:t xml:space="preserve">, </w:t>
      </w:r>
      <w:r w:rsidRPr="001808F7">
        <w:rPr>
          <w:rFonts w:ascii="Calibri-Italic" w:hAnsi="Calibri-Italic" w:cs="Calibri-Italic"/>
          <w:iCs/>
          <w:szCs w:val="22"/>
          <w:lang w:eastAsia="en-GB" w:bidi="ar-SA"/>
        </w:rPr>
        <w:t>zeocin</w:t>
      </w:r>
      <w:r>
        <w:rPr>
          <w:rFonts w:ascii="Calibri-Italic" w:hAnsi="Calibri-Italic" w:cs="Calibri-Italic"/>
          <w:iCs/>
          <w:szCs w:val="22"/>
          <w:lang w:eastAsia="en-GB" w:bidi="ar-SA"/>
        </w:rPr>
        <w:t xml:space="preserve">, </w:t>
      </w:r>
      <w:r w:rsidRPr="001808F7">
        <w:rPr>
          <w:rFonts w:ascii="Calibri-Italic" w:hAnsi="Calibri-Italic" w:cs="Calibri-Italic"/>
          <w:iCs/>
          <w:szCs w:val="22"/>
          <w:lang w:eastAsia="en-GB" w:bidi="ar-SA"/>
        </w:rPr>
        <w:t>geneticin</w:t>
      </w:r>
      <w:r>
        <w:rPr>
          <w:rFonts w:ascii="Calibri-Italic" w:hAnsi="Calibri-Italic" w:cs="Calibri-Italic"/>
          <w:iCs/>
          <w:szCs w:val="22"/>
          <w:lang w:eastAsia="en-GB" w:bidi="ar-SA"/>
        </w:rPr>
        <w:t xml:space="preserve"> and </w:t>
      </w:r>
      <w:r w:rsidRPr="001808F7">
        <w:rPr>
          <w:rFonts w:ascii="Calibri-Italic" w:hAnsi="Calibri-Italic" w:cs="Calibri-Italic"/>
          <w:iCs/>
          <w:szCs w:val="22"/>
          <w:lang w:eastAsia="en-GB" w:bidi="ar-SA"/>
        </w:rPr>
        <w:t>no</w:t>
      </w:r>
      <w:r w:rsidR="0013502D">
        <w:rPr>
          <w:rFonts w:ascii="Calibri-Italic" w:hAnsi="Calibri-Italic" w:cs="Calibri-Italic"/>
          <w:iCs/>
          <w:szCs w:val="22"/>
          <w:lang w:eastAsia="en-GB" w:bidi="ar-SA"/>
        </w:rPr>
        <w:t>u</w:t>
      </w:r>
      <w:r w:rsidRPr="001808F7">
        <w:rPr>
          <w:rFonts w:ascii="Calibri-Italic" w:hAnsi="Calibri-Italic" w:cs="Calibri-Italic"/>
          <w:iCs/>
          <w:szCs w:val="22"/>
          <w:lang w:eastAsia="en-GB" w:bidi="ar-SA"/>
        </w:rPr>
        <w:t>rseothricin</w:t>
      </w:r>
      <w:r>
        <w:rPr>
          <w:rFonts w:ascii="Calibri-Italic" w:hAnsi="Calibri-Italic" w:cs="Calibri-Italic"/>
          <w:iCs/>
          <w:szCs w:val="22"/>
          <w:lang w:eastAsia="en-GB" w:bidi="ar-SA"/>
        </w:rPr>
        <w:t xml:space="preserve">. </w:t>
      </w:r>
    </w:p>
    <w:p w14:paraId="08ACD154" w14:textId="7FA6E5E1" w:rsidR="002C447B" w:rsidRDefault="002C447B" w:rsidP="00223913">
      <w:pPr>
        <w:rPr>
          <w:rFonts w:ascii="Calibri-Italic" w:hAnsi="Calibri-Italic" w:cs="Calibri-Italic"/>
          <w:iCs/>
          <w:szCs w:val="22"/>
          <w:lang w:eastAsia="en-GB" w:bidi="ar-SA"/>
        </w:rPr>
      </w:pPr>
    </w:p>
    <w:p w14:paraId="3B33FBBF" w14:textId="73F7B907" w:rsidR="00223913" w:rsidRPr="006859D6" w:rsidRDefault="0084428C" w:rsidP="00223913">
      <w:pPr>
        <w:rPr>
          <w:lang w:eastAsia="en-AU" w:bidi="ar-SA"/>
        </w:rPr>
      </w:pPr>
      <w:r w:rsidRPr="0084428C">
        <w:rPr>
          <w:rFonts w:ascii="Calibri-Italic" w:hAnsi="Calibri-Italic" w:cs="Calibri-Italic"/>
          <w:i/>
          <w:iCs/>
          <w:szCs w:val="22"/>
          <w:lang w:eastAsia="en-GB" w:bidi="ar-SA"/>
        </w:rPr>
        <w:t>S</w:t>
      </w:r>
      <w:r>
        <w:rPr>
          <w:rFonts w:ascii="Calibri-Italic" w:hAnsi="Calibri-Italic" w:cs="Calibri-Italic"/>
          <w:iCs/>
          <w:szCs w:val="22"/>
          <w:lang w:eastAsia="en-GB" w:bidi="ar-SA"/>
        </w:rPr>
        <w:t xml:space="preserve">. </w:t>
      </w:r>
      <w:r w:rsidRPr="0084428C">
        <w:rPr>
          <w:rFonts w:ascii="Calibri-Italic" w:hAnsi="Calibri-Italic" w:cs="Calibri-Italic"/>
          <w:i/>
          <w:iCs/>
          <w:szCs w:val="22"/>
          <w:lang w:eastAsia="en-GB" w:bidi="ar-SA"/>
        </w:rPr>
        <w:t>cerevisiae</w:t>
      </w:r>
      <w:r>
        <w:rPr>
          <w:rFonts w:ascii="Calibri-Italic" w:hAnsi="Calibri-Italic" w:cs="Calibri-Italic"/>
          <w:iCs/>
          <w:szCs w:val="22"/>
          <w:lang w:eastAsia="en-GB" w:bidi="ar-SA"/>
        </w:rPr>
        <w:t xml:space="preserve"> is listed as a source for an enzyme of microbiological origin (β-</w:t>
      </w:r>
      <w:r w:rsidR="001055B3">
        <w:rPr>
          <w:rFonts w:ascii="Calibri-Italic" w:hAnsi="Calibri-Italic" w:cs="Calibri-Italic"/>
          <w:iCs/>
          <w:szCs w:val="22"/>
          <w:lang w:eastAsia="en-GB" w:bidi="ar-SA"/>
        </w:rPr>
        <w:t>f</w:t>
      </w:r>
      <w:r w:rsidRPr="0084428C">
        <w:rPr>
          <w:rFonts w:ascii="Calibri-Italic" w:hAnsi="Calibri-Italic" w:cs="Calibri-Italic"/>
          <w:iCs/>
          <w:szCs w:val="22"/>
          <w:lang w:eastAsia="en-GB" w:bidi="ar-SA"/>
        </w:rPr>
        <w:t>ructofuranosidase (EC 3.2.1.26)</w:t>
      </w:r>
      <w:r>
        <w:rPr>
          <w:rFonts w:ascii="Calibri-Italic" w:hAnsi="Calibri-Italic" w:cs="Calibri-Italic"/>
          <w:iCs/>
          <w:szCs w:val="22"/>
          <w:lang w:eastAsia="en-GB" w:bidi="ar-SA"/>
        </w:rPr>
        <w:t xml:space="preserve">) in </w:t>
      </w:r>
      <w:r w:rsidR="00C1685F" w:rsidRPr="00C1685F">
        <w:rPr>
          <w:rFonts w:ascii="Calibri-Italic" w:hAnsi="Calibri-Italic" w:cs="Calibri-Italic"/>
          <w:iCs/>
          <w:szCs w:val="22"/>
          <w:lang w:eastAsia="en-GB" w:bidi="ar-SA"/>
        </w:rPr>
        <w:t xml:space="preserve">Schedule 18 – Processing aids </w:t>
      </w:r>
      <w:r>
        <w:rPr>
          <w:rFonts w:ascii="Calibri-Italic" w:hAnsi="Calibri-Italic" w:cs="Calibri-Italic"/>
          <w:iCs/>
          <w:szCs w:val="22"/>
          <w:lang w:eastAsia="en-GB" w:bidi="ar-SA"/>
        </w:rPr>
        <w:t>of the Code.</w:t>
      </w:r>
      <w:r w:rsidR="002C447B">
        <w:rPr>
          <w:rFonts w:ascii="Calibri-Italic" w:hAnsi="Calibri-Italic" w:cs="Calibri-Italic"/>
          <w:iCs/>
          <w:szCs w:val="22"/>
          <w:lang w:eastAsia="en-GB" w:bidi="ar-SA"/>
        </w:rPr>
        <w:t xml:space="preserve"> </w:t>
      </w:r>
      <w:r w:rsidR="00C310A8">
        <w:rPr>
          <w:rFonts w:ascii="Calibri-Italic" w:hAnsi="Calibri-Italic" w:cs="Calibri-Italic"/>
          <w:iCs/>
          <w:szCs w:val="22"/>
          <w:lang w:eastAsia="en-GB" w:bidi="ar-SA"/>
        </w:rPr>
        <w:t xml:space="preserve">The </w:t>
      </w:r>
      <w:r w:rsidR="00C310A8" w:rsidRPr="002C447B">
        <w:rPr>
          <w:rFonts w:ascii="Calibri-Italic" w:hAnsi="Calibri-Italic" w:cs="Calibri-Italic"/>
          <w:i/>
          <w:iCs/>
          <w:szCs w:val="22"/>
          <w:lang w:eastAsia="en-GB" w:bidi="ar-SA"/>
        </w:rPr>
        <w:t>S</w:t>
      </w:r>
      <w:r w:rsidR="00C310A8">
        <w:rPr>
          <w:rFonts w:ascii="Calibri-Italic" w:hAnsi="Calibri-Italic" w:cs="Calibri-Italic"/>
          <w:iCs/>
          <w:szCs w:val="22"/>
          <w:lang w:eastAsia="en-GB" w:bidi="ar-SA"/>
        </w:rPr>
        <w:t xml:space="preserve">. </w:t>
      </w:r>
      <w:r w:rsidR="00C310A8" w:rsidRPr="002C447B">
        <w:rPr>
          <w:rFonts w:ascii="Calibri-Italic" w:hAnsi="Calibri-Italic" w:cs="Calibri-Italic"/>
          <w:i/>
          <w:iCs/>
          <w:szCs w:val="22"/>
          <w:lang w:eastAsia="en-GB" w:bidi="ar-SA"/>
        </w:rPr>
        <w:t>cerevisiae</w:t>
      </w:r>
      <w:r w:rsidR="00C310A8">
        <w:rPr>
          <w:rFonts w:ascii="Calibri-Italic" w:hAnsi="Calibri-Italic" w:cs="Calibri-Italic"/>
          <w:iCs/>
          <w:szCs w:val="22"/>
          <w:lang w:eastAsia="en-GB" w:bidi="ar-SA"/>
        </w:rPr>
        <w:t xml:space="preserve"> production strain is maintained at the applicant’s internal yeast culture collection.</w:t>
      </w:r>
    </w:p>
    <w:p w14:paraId="702F4322" w14:textId="7052BFAF" w:rsidR="00CA3849" w:rsidRPr="006859D6" w:rsidRDefault="00DB15BB" w:rsidP="009925D0">
      <w:pPr>
        <w:pStyle w:val="Heading3"/>
      </w:pPr>
      <w:bookmarkStart w:id="28" w:name="_Toc498940969"/>
      <w:bookmarkStart w:id="29" w:name="_Toc499282442"/>
      <w:r>
        <w:t>3.1</w:t>
      </w:r>
      <w:r w:rsidR="00CA3849" w:rsidRPr="006859D6">
        <w:t>.2</w:t>
      </w:r>
      <w:r w:rsidR="0035149D" w:rsidRPr="006859D6">
        <w:tab/>
      </w:r>
      <w:r w:rsidR="00CA3849" w:rsidRPr="006859D6">
        <w:t>Gene donor organism(s)</w:t>
      </w:r>
      <w:bookmarkEnd w:id="28"/>
      <w:bookmarkEnd w:id="29"/>
      <w:r w:rsidR="00CA3849" w:rsidRPr="006859D6">
        <w:t xml:space="preserve"> </w:t>
      </w:r>
    </w:p>
    <w:p w14:paraId="44351567" w14:textId="5E74DCCD" w:rsidR="00223913" w:rsidRPr="00223913" w:rsidRDefault="00DB15BB" w:rsidP="00223913">
      <w:pPr>
        <w:rPr>
          <w:lang w:eastAsia="en-AU" w:bidi="ar-SA"/>
        </w:rPr>
      </w:pPr>
      <w:r>
        <w:rPr>
          <w:lang w:eastAsia="en-AU" w:bidi="ar-SA"/>
        </w:rPr>
        <w:t>T</w:t>
      </w:r>
      <w:r w:rsidRPr="006859D6">
        <w:rPr>
          <w:lang w:eastAsia="en-AU" w:bidi="ar-SA"/>
        </w:rPr>
        <w:t xml:space="preserve">he </w:t>
      </w:r>
      <w:r>
        <w:rPr>
          <w:lang w:eastAsia="en-AU" w:bidi="ar-SA"/>
        </w:rPr>
        <w:t>maltogenic alpha-amylase</w:t>
      </w:r>
      <w:r w:rsidRPr="006859D6">
        <w:rPr>
          <w:lang w:eastAsia="en-AU" w:bidi="ar-SA"/>
        </w:rPr>
        <w:t xml:space="preserve"> </w:t>
      </w:r>
      <w:r w:rsidR="00C1685F">
        <w:rPr>
          <w:lang w:eastAsia="en-AU" w:bidi="ar-SA"/>
        </w:rPr>
        <w:t xml:space="preserve">gene </w:t>
      </w:r>
      <w:r>
        <w:rPr>
          <w:lang w:eastAsia="en-AU" w:bidi="ar-SA"/>
        </w:rPr>
        <w:t xml:space="preserve">was sourced from </w:t>
      </w:r>
      <w:r w:rsidR="006859D6">
        <w:rPr>
          <w:i/>
          <w:iCs/>
          <w:szCs w:val="22"/>
        </w:rPr>
        <w:t>Geobacillus stearothermophilus</w:t>
      </w:r>
      <w:r>
        <w:rPr>
          <w:iCs/>
          <w:szCs w:val="22"/>
        </w:rPr>
        <w:t xml:space="preserve">, </w:t>
      </w:r>
      <w:r w:rsidR="006859D6" w:rsidRPr="006859D6">
        <w:rPr>
          <w:iCs/>
          <w:szCs w:val="22"/>
        </w:rPr>
        <w:t xml:space="preserve">formerly known as </w:t>
      </w:r>
      <w:r w:rsidR="006859D6" w:rsidRPr="006859D6">
        <w:rPr>
          <w:i/>
          <w:iCs/>
          <w:szCs w:val="22"/>
        </w:rPr>
        <w:t>Bacillus stearothermophilus</w:t>
      </w:r>
      <w:r w:rsidRPr="00DB15BB">
        <w:rPr>
          <w:iCs/>
          <w:szCs w:val="22"/>
        </w:rPr>
        <w:t>.</w:t>
      </w:r>
      <w:r w:rsidR="00C1685F">
        <w:rPr>
          <w:iCs/>
          <w:szCs w:val="22"/>
        </w:rPr>
        <w:t xml:space="preserve"> </w:t>
      </w:r>
      <w:r w:rsidR="00D0073A">
        <w:rPr>
          <w:iCs/>
          <w:szCs w:val="22"/>
        </w:rPr>
        <w:t xml:space="preserve">While </w:t>
      </w:r>
      <w:r w:rsidR="00C1685F" w:rsidRPr="00C1685F">
        <w:rPr>
          <w:i/>
          <w:iCs/>
          <w:szCs w:val="22"/>
        </w:rPr>
        <w:t>G</w:t>
      </w:r>
      <w:r w:rsidR="00C1685F">
        <w:rPr>
          <w:iCs/>
          <w:szCs w:val="22"/>
        </w:rPr>
        <w:t xml:space="preserve">. </w:t>
      </w:r>
      <w:r w:rsidR="00C1685F">
        <w:rPr>
          <w:i/>
          <w:iCs/>
          <w:szCs w:val="22"/>
        </w:rPr>
        <w:t>stearothermophilus</w:t>
      </w:r>
      <w:r w:rsidR="00C1685F">
        <w:rPr>
          <w:iCs/>
          <w:szCs w:val="22"/>
        </w:rPr>
        <w:t xml:space="preserve"> </w:t>
      </w:r>
      <w:r w:rsidR="00D0073A">
        <w:rPr>
          <w:iCs/>
          <w:szCs w:val="22"/>
        </w:rPr>
        <w:t>has been associated with food spoilage (Andr</w:t>
      </w:r>
      <w:r w:rsidR="00DC6E79">
        <w:rPr>
          <w:rFonts w:cs="Arial"/>
          <w:iCs/>
          <w:szCs w:val="22"/>
        </w:rPr>
        <w:t>é</w:t>
      </w:r>
      <w:r w:rsidR="00D0073A">
        <w:rPr>
          <w:iCs/>
          <w:szCs w:val="22"/>
        </w:rPr>
        <w:t xml:space="preserve"> et al. 2017), it is not classified as a risk agent for human pathogenicity</w:t>
      </w:r>
      <w:r w:rsidR="00D0073A">
        <w:rPr>
          <w:rStyle w:val="FootnoteReference"/>
          <w:iCs/>
          <w:szCs w:val="22"/>
        </w:rPr>
        <w:footnoteReference w:id="4"/>
      </w:r>
      <w:r w:rsidR="00D0073A">
        <w:rPr>
          <w:iCs/>
          <w:szCs w:val="22"/>
        </w:rPr>
        <w:t xml:space="preserve">. Furthermore, enzymes obtained from this organism have previously been approved and are </w:t>
      </w:r>
      <w:r w:rsidR="00C1685F">
        <w:rPr>
          <w:iCs/>
          <w:szCs w:val="22"/>
        </w:rPr>
        <w:t xml:space="preserve">listed in </w:t>
      </w:r>
      <w:r w:rsidR="00C1685F" w:rsidRPr="00C1685F">
        <w:rPr>
          <w:iCs/>
          <w:szCs w:val="22"/>
        </w:rPr>
        <w:t>Schedule 18</w:t>
      </w:r>
      <w:r w:rsidR="000A17A8">
        <w:rPr>
          <w:iCs/>
          <w:szCs w:val="22"/>
        </w:rPr>
        <w:t xml:space="preserve"> of the Code, demonstrating a history of safe use for enzymes obtained from this microorganism.</w:t>
      </w:r>
    </w:p>
    <w:p w14:paraId="59709545" w14:textId="34BDC9C7" w:rsidR="00CA3849" w:rsidRPr="00D67005" w:rsidRDefault="00CA3849" w:rsidP="00BD59CB">
      <w:pPr>
        <w:pStyle w:val="Heading2"/>
      </w:pPr>
      <w:bookmarkStart w:id="30" w:name="_Toc499282443"/>
      <w:bookmarkStart w:id="31" w:name="_Toc505255640"/>
      <w:bookmarkStart w:id="32" w:name="_Toc59030975"/>
      <w:r w:rsidRPr="00353F35">
        <w:t>3.</w:t>
      </w:r>
      <w:r w:rsidR="00DB15BB">
        <w:t>2</w:t>
      </w:r>
      <w:r w:rsidR="001E6A7B" w:rsidRPr="00353F35">
        <w:tab/>
      </w:r>
      <w:r w:rsidRPr="00353F35">
        <w:t>Characterisation of the genetic modification(s)</w:t>
      </w:r>
      <w:bookmarkEnd w:id="30"/>
      <w:bookmarkEnd w:id="31"/>
      <w:bookmarkEnd w:id="32"/>
    </w:p>
    <w:p w14:paraId="4F1B6BFB" w14:textId="00ED6D9E" w:rsidR="00CA3849" w:rsidRPr="006859D6" w:rsidRDefault="00CA3849" w:rsidP="009925D0">
      <w:pPr>
        <w:pStyle w:val="Heading3"/>
      </w:pPr>
      <w:bookmarkStart w:id="33" w:name="_Toc498940971"/>
      <w:bookmarkStart w:id="34" w:name="_Toc499282444"/>
      <w:r w:rsidRPr="006859D6">
        <w:t>3.</w:t>
      </w:r>
      <w:r w:rsidR="00DB15BB">
        <w:t>2</w:t>
      </w:r>
      <w:r w:rsidRPr="006859D6">
        <w:t>.1</w:t>
      </w:r>
      <w:r w:rsidR="0035149D" w:rsidRPr="006859D6">
        <w:tab/>
      </w:r>
      <w:r w:rsidRPr="006859D6">
        <w:t>Description of DNA to be introduced and method of transformation</w:t>
      </w:r>
      <w:bookmarkEnd w:id="33"/>
      <w:bookmarkEnd w:id="34"/>
      <w:r w:rsidRPr="006859D6">
        <w:t xml:space="preserve"> </w:t>
      </w:r>
    </w:p>
    <w:p w14:paraId="40F15FC2" w14:textId="4DE4B803" w:rsidR="006859D6" w:rsidRPr="006859D6" w:rsidRDefault="006859D6" w:rsidP="006859D6">
      <w:pPr>
        <w:rPr>
          <w:lang w:eastAsia="en-AU" w:bidi="ar-SA"/>
        </w:rPr>
      </w:pPr>
      <w:r w:rsidRPr="006859D6">
        <w:rPr>
          <w:lang w:eastAsia="en-AU" w:bidi="ar-SA"/>
        </w:rPr>
        <w:t xml:space="preserve">The gene that encodes the </w:t>
      </w:r>
      <w:r>
        <w:rPr>
          <w:lang w:eastAsia="en-AU" w:bidi="ar-SA"/>
        </w:rPr>
        <w:t>maltogenic alpha-amylase</w:t>
      </w:r>
      <w:r w:rsidRPr="006859D6">
        <w:rPr>
          <w:lang w:eastAsia="en-AU" w:bidi="ar-SA"/>
        </w:rPr>
        <w:t xml:space="preserve"> enzyme was chemically synthesised based on the sequence from </w:t>
      </w:r>
      <w:r>
        <w:rPr>
          <w:i/>
          <w:lang w:eastAsia="en-AU" w:bidi="ar-SA"/>
        </w:rPr>
        <w:t>G. stearothermophilus</w:t>
      </w:r>
      <w:r w:rsidRPr="006859D6">
        <w:rPr>
          <w:i/>
          <w:lang w:eastAsia="en-AU" w:bidi="ar-SA"/>
        </w:rPr>
        <w:t>.</w:t>
      </w:r>
      <w:r w:rsidRPr="006859D6">
        <w:rPr>
          <w:lang w:eastAsia="en-AU" w:bidi="ar-SA"/>
        </w:rPr>
        <w:t xml:space="preserve"> </w:t>
      </w:r>
      <w:r w:rsidR="0019100F">
        <w:rPr>
          <w:lang w:eastAsia="en-AU" w:bidi="ar-SA"/>
        </w:rPr>
        <w:t>The gene sequence has been codon-optimis</w:t>
      </w:r>
      <w:r w:rsidR="00170449">
        <w:rPr>
          <w:lang w:eastAsia="en-AU" w:bidi="ar-SA"/>
        </w:rPr>
        <w:t>ed to allow efficient expression in yeast</w:t>
      </w:r>
      <w:r w:rsidR="0019100F">
        <w:rPr>
          <w:lang w:eastAsia="en-AU" w:bidi="ar-SA"/>
        </w:rPr>
        <w:t xml:space="preserve">. </w:t>
      </w:r>
      <w:r w:rsidR="00C768FC">
        <w:rPr>
          <w:lang w:eastAsia="en-AU" w:bidi="ar-SA"/>
        </w:rPr>
        <w:t xml:space="preserve">Modifications were also made to the amino acid sequence to improve thermostability. </w:t>
      </w:r>
      <w:r w:rsidR="00170449">
        <w:rPr>
          <w:lang w:eastAsia="en-AU" w:bidi="ar-SA"/>
        </w:rPr>
        <w:t>The expression</w:t>
      </w:r>
      <w:r w:rsidRPr="006859D6">
        <w:rPr>
          <w:lang w:eastAsia="en-AU" w:bidi="ar-SA"/>
        </w:rPr>
        <w:t xml:space="preserve"> cassette </w:t>
      </w:r>
      <w:r w:rsidR="00170449">
        <w:rPr>
          <w:lang w:eastAsia="en-AU" w:bidi="ar-SA"/>
        </w:rPr>
        <w:t>was</w:t>
      </w:r>
      <w:r w:rsidRPr="006859D6">
        <w:rPr>
          <w:lang w:eastAsia="en-AU" w:bidi="ar-SA"/>
        </w:rPr>
        <w:t xml:space="preserve"> generated </w:t>
      </w:r>
      <w:r w:rsidR="00170449">
        <w:rPr>
          <w:lang w:eastAsia="en-AU" w:bidi="ar-SA"/>
        </w:rPr>
        <w:t>with the enzyme gene flanked by specific promoters and terminators and was</w:t>
      </w:r>
      <w:r w:rsidRPr="006859D6">
        <w:rPr>
          <w:lang w:eastAsia="en-AU" w:bidi="ar-SA"/>
        </w:rPr>
        <w:t xml:space="preserve"> designed to allow targeted integration into the host genome.</w:t>
      </w:r>
      <w:r w:rsidR="00170449">
        <w:rPr>
          <w:lang w:eastAsia="en-AU" w:bidi="ar-SA"/>
        </w:rPr>
        <w:t xml:space="preserve"> The transformation method was a standard method for the host species.</w:t>
      </w:r>
    </w:p>
    <w:p w14:paraId="273B4984" w14:textId="78A709B1" w:rsidR="00CA3849" w:rsidRPr="006859D6" w:rsidRDefault="00DB15BB" w:rsidP="009925D0">
      <w:pPr>
        <w:pStyle w:val="Heading3"/>
      </w:pPr>
      <w:bookmarkStart w:id="35" w:name="_Toc498940972"/>
      <w:bookmarkStart w:id="36" w:name="_Toc499282445"/>
      <w:r>
        <w:t>3.2</w:t>
      </w:r>
      <w:r w:rsidR="00CA3849" w:rsidRPr="006859D6">
        <w:t>.2</w:t>
      </w:r>
      <w:r w:rsidR="0035149D" w:rsidRPr="006859D6">
        <w:tab/>
      </w:r>
      <w:r w:rsidR="00CA3849" w:rsidRPr="006859D6">
        <w:t>Characterisation of inserted DNA</w:t>
      </w:r>
      <w:bookmarkEnd w:id="35"/>
      <w:bookmarkEnd w:id="36"/>
    </w:p>
    <w:p w14:paraId="078BD327" w14:textId="0A2A5F88" w:rsidR="00223913" w:rsidRPr="006859D6" w:rsidRDefault="00170449" w:rsidP="00223913">
      <w:pPr>
        <w:rPr>
          <w:lang w:eastAsia="en-AU" w:bidi="ar-SA"/>
        </w:rPr>
      </w:pPr>
      <w:r>
        <w:rPr>
          <w:lang w:eastAsia="en-AU" w:bidi="ar-SA"/>
        </w:rPr>
        <w:t>A range of me</w:t>
      </w:r>
      <w:r w:rsidR="003E337F">
        <w:rPr>
          <w:lang w:eastAsia="en-AU" w:bidi="ar-SA"/>
        </w:rPr>
        <w:t>thods were used to characterise</w:t>
      </w:r>
      <w:r>
        <w:rPr>
          <w:lang w:eastAsia="en-AU" w:bidi="ar-SA"/>
        </w:rPr>
        <w:t xml:space="preserve"> the insertion of the expression cassette. The data provided showed that the enzyme gene has been integrated into the targeted site,</w:t>
      </w:r>
      <w:r w:rsidR="003E337F">
        <w:rPr>
          <w:lang w:eastAsia="en-AU" w:bidi="ar-SA"/>
        </w:rPr>
        <w:t xml:space="preserve"> has the expected sequence and has not undergone</w:t>
      </w:r>
      <w:r>
        <w:rPr>
          <w:lang w:eastAsia="en-AU" w:bidi="ar-SA"/>
        </w:rPr>
        <w:t xml:space="preserve"> rearrangement.</w:t>
      </w:r>
    </w:p>
    <w:p w14:paraId="55C7BDA7" w14:textId="320CD592" w:rsidR="00CA3849" w:rsidRPr="006859D6" w:rsidRDefault="00DB15BB" w:rsidP="009925D0">
      <w:pPr>
        <w:pStyle w:val="Heading3"/>
      </w:pPr>
      <w:bookmarkStart w:id="37" w:name="_Toc498940973"/>
      <w:bookmarkStart w:id="38" w:name="_Toc499282446"/>
      <w:r>
        <w:t>3.2</w:t>
      </w:r>
      <w:r w:rsidR="0035149D" w:rsidRPr="006859D6">
        <w:t>.3</w:t>
      </w:r>
      <w:r w:rsidR="0035149D" w:rsidRPr="006859D6">
        <w:tab/>
      </w:r>
      <w:r w:rsidR="00CA3849" w:rsidRPr="006859D6">
        <w:t>Genetic stability of the inserted gene</w:t>
      </w:r>
      <w:bookmarkEnd w:id="37"/>
      <w:bookmarkEnd w:id="38"/>
    </w:p>
    <w:p w14:paraId="45EBFC84" w14:textId="1DA9E55E" w:rsidR="00223913" w:rsidRPr="00223913" w:rsidRDefault="00170449" w:rsidP="00223913">
      <w:pPr>
        <w:rPr>
          <w:lang w:eastAsia="en-AU" w:bidi="ar-SA"/>
        </w:rPr>
      </w:pPr>
      <w:r>
        <w:rPr>
          <w:lang w:eastAsia="en-AU" w:bidi="ar-SA"/>
        </w:rPr>
        <w:t>A genotypic analysis was performed</w:t>
      </w:r>
      <w:r w:rsidR="00716BC6">
        <w:rPr>
          <w:lang w:eastAsia="en-AU" w:bidi="ar-SA"/>
        </w:rPr>
        <w:t xml:space="preserve"> in triplicate</w:t>
      </w:r>
      <w:r>
        <w:rPr>
          <w:lang w:eastAsia="en-AU" w:bidi="ar-SA"/>
        </w:rPr>
        <w:t xml:space="preserve">, comparing presence of the inserted DNA before and after a typical fermentation run. </w:t>
      </w:r>
      <w:r w:rsidR="00716BC6">
        <w:rPr>
          <w:rFonts w:cs="Arial"/>
          <w:color w:val="000000" w:themeColor="text1"/>
        </w:rPr>
        <w:t>The data provided by the applicant shows that the expression of the gene is consistent across several generations, indicating the production strain is genetic</w:t>
      </w:r>
      <w:r w:rsidR="002D4682">
        <w:rPr>
          <w:rFonts w:cs="Arial"/>
          <w:color w:val="000000" w:themeColor="text1"/>
        </w:rPr>
        <w:t>ally</w:t>
      </w:r>
      <w:r w:rsidR="00716BC6">
        <w:rPr>
          <w:rFonts w:cs="Arial"/>
          <w:color w:val="000000" w:themeColor="text1"/>
        </w:rPr>
        <w:t xml:space="preserve"> stable.</w:t>
      </w:r>
    </w:p>
    <w:p w14:paraId="25D696AF" w14:textId="151F6D9E" w:rsidR="00CA3849" w:rsidRDefault="00CA3849">
      <w:pPr>
        <w:pStyle w:val="Heading2"/>
        <w:rPr>
          <w:lang w:eastAsia="en-AU"/>
        </w:rPr>
      </w:pPr>
      <w:bookmarkStart w:id="39" w:name="_Toc471740086"/>
      <w:bookmarkStart w:id="40" w:name="_Toc505255641"/>
      <w:bookmarkStart w:id="41" w:name="_Toc499282447"/>
      <w:bookmarkStart w:id="42" w:name="_Toc59030976"/>
      <w:r w:rsidRPr="00DD6B6A">
        <w:lastRenderedPageBreak/>
        <w:t>3.</w:t>
      </w:r>
      <w:r w:rsidR="00DB15BB">
        <w:t>3</w:t>
      </w:r>
      <w:r w:rsidR="001E6A7B">
        <w:tab/>
      </w:r>
      <w:r>
        <w:t xml:space="preserve">Safety of </w:t>
      </w:r>
      <w:bookmarkEnd w:id="39"/>
      <w:bookmarkEnd w:id="40"/>
      <w:bookmarkEnd w:id="41"/>
      <w:r w:rsidR="00223913">
        <w:rPr>
          <w:rFonts w:ascii="CIDFont+F1" w:eastAsia="Calibri" w:hAnsi="CIDFont+F1" w:cs="CIDFont+F1"/>
        </w:rPr>
        <w:t>maltogenic alpha amylase</w:t>
      </w:r>
      <w:bookmarkEnd w:id="42"/>
    </w:p>
    <w:p w14:paraId="799DA7C5" w14:textId="4C1FBB84" w:rsidR="00816B58" w:rsidRPr="006C1F7F" w:rsidRDefault="00816B58" w:rsidP="00816B58">
      <w:pPr>
        <w:rPr>
          <w:lang w:eastAsia="en-AU" w:bidi="ar-SA"/>
        </w:rPr>
      </w:pPr>
      <w:r w:rsidRPr="006C1F7F">
        <w:rPr>
          <w:lang w:eastAsia="en-AU" w:bidi="ar-SA"/>
        </w:rPr>
        <w:t xml:space="preserve">The enzyme that is the subject of this application meets the specifications of JECFA and the Food Chemicals Codex. </w:t>
      </w:r>
    </w:p>
    <w:p w14:paraId="1CC6BA13" w14:textId="251C58D3" w:rsidR="00C15A6C" w:rsidRPr="006C1F7F" w:rsidRDefault="00C15A6C" w:rsidP="009925D0">
      <w:pPr>
        <w:pStyle w:val="Heading3"/>
      </w:pPr>
      <w:r w:rsidRPr="006C1F7F">
        <w:t>3.</w:t>
      </w:r>
      <w:r w:rsidR="002471A6">
        <w:t>3</w:t>
      </w:r>
      <w:r w:rsidRPr="006C1F7F">
        <w:t>.1</w:t>
      </w:r>
      <w:r w:rsidR="0035149D" w:rsidRPr="006C1F7F">
        <w:tab/>
      </w:r>
      <w:r w:rsidRPr="006C1F7F">
        <w:t>History of safe use of the enzyme</w:t>
      </w:r>
    </w:p>
    <w:p w14:paraId="76EB4261" w14:textId="5E642B0E" w:rsidR="00552C29" w:rsidRPr="006C1F7F" w:rsidRDefault="006C1F7F" w:rsidP="00552C29">
      <w:pPr>
        <w:rPr>
          <w:lang w:eastAsia="en-AU" w:bidi="ar-SA"/>
        </w:rPr>
      </w:pPr>
      <w:r>
        <w:rPr>
          <w:lang w:eastAsia="en-AU" w:bidi="ar-SA"/>
        </w:rPr>
        <w:t>Maltogenic alpha</w:t>
      </w:r>
      <w:r w:rsidR="008451D2">
        <w:rPr>
          <w:lang w:eastAsia="en-AU" w:bidi="ar-SA"/>
        </w:rPr>
        <w:t>-</w:t>
      </w:r>
      <w:r>
        <w:rPr>
          <w:lang w:eastAsia="en-AU" w:bidi="ar-SA"/>
        </w:rPr>
        <w:t xml:space="preserve">amylase produced directly from the source organism, </w:t>
      </w:r>
      <w:r w:rsidRPr="006C1F7F">
        <w:rPr>
          <w:i/>
          <w:lang w:eastAsia="en-AU" w:bidi="ar-SA"/>
        </w:rPr>
        <w:t>G. stearothermophilus</w:t>
      </w:r>
      <w:r>
        <w:rPr>
          <w:lang w:eastAsia="en-AU" w:bidi="ar-SA"/>
        </w:rPr>
        <w:t xml:space="preserve">, has been used since the mid-1990s in baking </w:t>
      </w:r>
      <w:r w:rsidRPr="00031045">
        <w:rPr>
          <w:lang w:eastAsia="en-AU" w:bidi="ar-SA"/>
        </w:rPr>
        <w:t xml:space="preserve">(Derde et al. 2012; </w:t>
      </w:r>
      <w:r w:rsidRPr="00114AFC">
        <w:rPr>
          <w:lang w:eastAsia="en-AU" w:bidi="ar-SA"/>
        </w:rPr>
        <w:t>Goesaert et al. 2009)</w:t>
      </w:r>
      <w:r w:rsidR="006F60FC" w:rsidRPr="00114AFC">
        <w:rPr>
          <w:lang w:eastAsia="en-AU" w:bidi="ar-SA"/>
        </w:rPr>
        <w:t>,</w:t>
      </w:r>
      <w:r w:rsidR="006F60FC">
        <w:rPr>
          <w:lang w:eastAsia="en-AU" w:bidi="ar-SA"/>
        </w:rPr>
        <w:t xml:space="preserve"> and is approved for use in Australia</w:t>
      </w:r>
      <w:r w:rsidR="00F229C0">
        <w:rPr>
          <w:lang w:eastAsia="en-AU" w:bidi="ar-SA"/>
        </w:rPr>
        <w:t>,</w:t>
      </w:r>
      <w:r w:rsidR="006F60FC">
        <w:rPr>
          <w:lang w:eastAsia="en-AU" w:bidi="ar-SA"/>
        </w:rPr>
        <w:t xml:space="preserve"> New Zealand </w:t>
      </w:r>
      <w:r w:rsidR="00F229C0">
        <w:rPr>
          <w:lang w:eastAsia="en-AU" w:bidi="ar-SA"/>
        </w:rPr>
        <w:t>and other countries</w:t>
      </w:r>
      <w:r>
        <w:rPr>
          <w:lang w:eastAsia="en-AU" w:bidi="ar-SA"/>
        </w:rPr>
        <w:t xml:space="preserve">. </w:t>
      </w:r>
      <w:r w:rsidRPr="006C1F7F">
        <w:rPr>
          <w:lang w:eastAsia="en-AU" w:bidi="ar-SA"/>
        </w:rPr>
        <w:t xml:space="preserve">The </w:t>
      </w:r>
      <w:r w:rsidR="006F60FC">
        <w:rPr>
          <w:lang w:eastAsia="en-AU" w:bidi="ar-SA"/>
        </w:rPr>
        <w:t>maltogenic alpha</w:t>
      </w:r>
      <w:r w:rsidR="008451D2">
        <w:rPr>
          <w:lang w:eastAsia="en-AU" w:bidi="ar-SA"/>
        </w:rPr>
        <w:t>-</w:t>
      </w:r>
      <w:r w:rsidR="006F60FC">
        <w:rPr>
          <w:lang w:eastAsia="en-AU" w:bidi="ar-SA"/>
        </w:rPr>
        <w:t>amylase</w:t>
      </w:r>
      <w:r w:rsidRPr="006C1F7F">
        <w:rPr>
          <w:lang w:eastAsia="en-AU" w:bidi="ar-SA"/>
        </w:rPr>
        <w:t xml:space="preserve"> that is the subject of this assessment </w:t>
      </w:r>
      <w:r w:rsidR="00F229C0">
        <w:rPr>
          <w:lang w:eastAsia="en-AU" w:bidi="ar-SA"/>
        </w:rPr>
        <w:t>is protein engineered</w:t>
      </w:r>
      <w:r w:rsidR="006F60FC">
        <w:rPr>
          <w:lang w:eastAsia="en-AU" w:bidi="ar-SA"/>
        </w:rPr>
        <w:t xml:space="preserve"> and has not been the subject of assessment by any national or international regulatory agency. The US FDA responded with a “No Questions” letter to a GRAS Notification (</w:t>
      </w:r>
      <w:r w:rsidR="006F60FC" w:rsidRPr="00D35BA6">
        <w:rPr>
          <w:lang w:eastAsia="en-AU" w:bidi="ar-SA"/>
        </w:rPr>
        <w:t>GRN 842</w:t>
      </w:r>
      <w:r w:rsidR="000C4991" w:rsidRPr="00D35BA6">
        <w:rPr>
          <w:lang w:eastAsia="en-AU" w:bidi="ar-SA"/>
        </w:rPr>
        <w:t>; January 2020</w:t>
      </w:r>
      <w:r w:rsidR="006F60FC" w:rsidRPr="00D35BA6">
        <w:rPr>
          <w:lang w:eastAsia="en-AU" w:bidi="ar-SA"/>
        </w:rPr>
        <w:t>) fo</w:t>
      </w:r>
      <w:r w:rsidR="000C4991" w:rsidRPr="00D35BA6">
        <w:rPr>
          <w:lang w:eastAsia="en-AU" w:bidi="ar-SA"/>
        </w:rPr>
        <w:t>r this maltogenic alpha</w:t>
      </w:r>
      <w:r w:rsidR="001362BC">
        <w:rPr>
          <w:lang w:eastAsia="en-AU" w:bidi="ar-SA"/>
        </w:rPr>
        <w:t>-</w:t>
      </w:r>
      <w:r w:rsidR="000C4991" w:rsidRPr="00D35BA6">
        <w:rPr>
          <w:lang w:eastAsia="en-AU" w:bidi="ar-SA"/>
        </w:rPr>
        <w:t>amylase</w:t>
      </w:r>
      <w:r w:rsidR="006F60FC" w:rsidRPr="00D35BA6">
        <w:rPr>
          <w:lang w:eastAsia="en-AU" w:bidi="ar-SA"/>
        </w:rPr>
        <w:t>.</w:t>
      </w:r>
      <w:r w:rsidR="006F60FC">
        <w:rPr>
          <w:lang w:eastAsia="en-AU" w:bidi="ar-SA"/>
        </w:rPr>
        <w:t xml:space="preserve"> </w:t>
      </w:r>
    </w:p>
    <w:p w14:paraId="1688B063" w14:textId="75A9C68D" w:rsidR="00B00515" w:rsidRPr="006C1F7F" w:rsidRDefault="00B00515" w:rsidP="009925D0">
      <w:pPr>
        <w:pStyle w:val="Heading3"/>
      </w:pPr>
      <w:r w:rsidRPr="006C1F7F">
        <w:t>3.</w:t>
      </w:r>
      <w:r w:rsidR="002471A6">
        <w:t>3</w:t>
      </w:r>
      <w:r w:rsidRPr="006C1F7F">
        <w:t>.2</w:t>
      </w:r>
      <w:r w:rsidRPr="006C1F7F">
        <w:tab/>
        <w:t xml:space="preserve">Bioinformatics concerning potential for toxicity </w:t>
      </w:r>
    </w:p>
    <w:p w14:paraId="6CEE0B5C" w14:textId="21D51B33" w:rsidR="00CF7991" w:rsidRPr="006C1F7F" w:rsidRDefault="00F229C0" w:rsidP="00CF7991">
      <w:pPr>
        <w:rPr>
          <w:lang w:eastAsia="en-AU" w:bidi="ar-SA"/>
        </w:rPr>
      </w:pPr>
      <w:r>
        <w:rPr>
          <w:lang w:eastAsia="en-AU" w:bidi="ar-SA"/>
        </w:rPr>
        <w:t xml:space="preserve">After generating </w:t>
      </w:r>
      <w:r w:rsidR="00B91C6F">
        <w:rPr>
          <w:lang w:eastAsia="en-AU" w:bidi="ar-SA"/>
        </w:rPr>
        <w:t xml:space="preserve">a custom database of known toxins </w:t>
      </w:r>
      <w:r w:rsidR="000E7ABE">
        <w:rPr>
          <w:lang w:eastAsia="en-AU" w:bidi="ar-SA"/>
        </w:rPr>
        <w:t>in</w:t>
      </w:r>
      <w:r w:rsidR="00B91C6F">
        <w:rPr>
          <w:lang w:eastAsia="en-AU" w:bidi="ar-SA"/>
        </w:rPr>
        <w:t xml:space="preserve"> UniProtKB</w:t>
      </w:r>
      <w:r w:rsidR="00B91C6F">
        <w:rPr>
          <w:rStyle w:val="FootnoteReference"/>
          <w:lang w:eastAsia="en-AU" w:bidi="ar-SA"/>
        </w:rPr>
        <w:footnoteReference w:id="5"/>
      </w:r>
      <w:r w:rsidR="00B91C6F">
        <w:rPr>
          <w:lang w:eastAsia="en-AU" w:bidi="ar-SA"/>
        </w:rPr>
        <w:t xml:space="preserve"> in November 2018, the </w:t>
      </w:r>
      <w:r w:rsidR="005F1D88">
        <w:rPr>
          <w:lang w:eastAsia="en-AU" w:bidi="ar-SA"/>
        </w:rPr>
        <w:t xml:space="preserve">applicant conducted a bioinformatics search </w:t>
      </w:r>
      <w:r>
        <w:rPr>
          <w:lang w:eastAsia="en-AU" w:bidi="ar-SA"/>
        </w:rPr>
        <w:t>using</w:t>
      </w:r>
      <w:r w:rsidR="00B91C6F">
        <w:rPr>
          <w:lang w:eastAsia="en-AU" w:bidi="ar-SA"/>
        </w:rPr>
        <w:t xml:space="preserve"> t</w:t>
      </w:r>
      <w:r w:rsidR="005F1D88">
        <w:rPr>
          <w:lang w:eastAsia="en-AU" w:bidi="ar-SA"/>
        </w:rPr>
        <w:t>he amino acid sequence of th</w:t>
      </w:r>
      <w:r w:rsidR="000E7ABE">
        <w:rPr>
          <w:lang w:eastAsia="en-AU" w:bidi="ar-SA"/>
        </w:rPr>
        <w:t>is</w:t>
      </w:r>
      <w:r w:rsidR="005F1D88">
        <w:rPr>
          <w:lang w:eastAsia="en-AU" w:bidi="ar-SA"/>
        </w:rPr>
        <w:t xml:space="preserve"> maltogenic alpha</w:t>
      </w:r>
      <w:r w:rsidR="008451D2">
        <w:rPr>
          <w:lang w:eastAsia="en-AU" w:bidi="ar-SA"/>
        </w:rPr>
        <w:t>-</w:t>
      </w:r>
      <w:r w:rsidR="005F1D88">
        <w:rPr>
          <w:lang w:eastAsia="en-AU" w:bidi="ar-SA"/>
        </w:rPr>
        <w:t>amylase. There were no hits with a</w:t>
      </w:r>
      <w:r>
        <w:rPr>
          <w:lang w:eastAsia="en-AU" w:bidi="ar-SA"/>
        </w:rPr>
        <w:t xml:space="preserve"> significant </w:t>
      </w:r>
      <w:r w:rsidR="005F1D88">
        <w:rPr>
          <w:lang w:eastAsia="en-AU" w:bidi="ar-SA"/>
        </w:rPr>
        <w:t xml:space="preserve"> E-value, indicating a lack of similarity to any known toxin. </w:t>
      </w:r>
    </w:p>
    <w:p w14:paraId="6D1903E5" w14:textId="337D549D" w:rsidR="00CF7991" w:rsidRPr="006C1F7F" w:rsidRDefault="00CF7991" w:rsidP="009925D0">
      <w:pPr>
        <w:pStyle w:val="Heading3"/>
      </w:pPr>
      <w:r w:rsidRPr="006C1F7F">
        <w:t>3.</w:t>
      </w:r>
      <w:r w:rsidR="002471A6">
        <w:t>3</w:t>
      </w:r>
      <w:r w:rsidRPr="006C1F7F">
        <w:t>.3</w:t>
      </w:r>
      <w:r w:rsidRPr="006C1F7F">
        <w:tab/>
      </w:r>
      <w:r w:rsidR="006C1F7F" w:rsidRPr="006C1F7F">
        <w:t xml:space="preserve">Stability of the enzyme in </w:t>
      </w:r>
      <w:r w:rsidR="002F7E92">
        <w:t xml:space="preserve">a </w:t>
      </w:r>
      <w:r w:rsidR="006C1F7F" w:rsidRPr="006C1F7F">
        <w:t xml:space="preserve">simulated digestion assay </w:t>
      </w:r>
    </w:p>
    <w:p w14:paraId="7FC3AF8D" w14:textId="5A86D883" w:rsidR="00552C29" w:rsidRDefault="002F7E92" w:rsidP="00552C29">
      <w:pPr>
        <w:rPr>
          <w:i/>
          <w:lang w:eastAsia="en-AU" w:bidi="ar-SA"/>
        </w:rPr>
      </w:pPr>
      <w:r w:rsidRPr="002F7E92">
        <w:rPr>
          <w:i/>
          <w:lang w:eastAsia="en-AU" w:bidi="ar-SA"/>
        </w:rPr>
        <w:t>Simulated gastric digestion assay of the enzyme (</w:t>
      </w:r>
      <w:r w:rsidR="0098263D">
        <w:rPr>
          <w:i/>
          <w:lang w:eastAsia="en-AU" w:bidi="ar-SA"/>
        </w:rPr>
        <w:t xml:space="preserve">unpublished study by </w:t>
      </w:r>
      <w:r w:rsidRPr="002F7E92">
        <w:rPr>
          <w:i/>
          <w:lang w:eastAsia="en-AU" w:bidi="ar-SA"/>
        </w:rPr>
        <w:t>Marzorati et al. 2020). Regulatory status: Not GLP</w:t>
      </w:r>
    </w:p>
    <w:p w14:paraId="47ACDE89" w14:textId="1FC6957C" w:rsidR="002F7E92" w:rsidRDefault="002F7E92" w:rsidP="00552C29">
      <w:pPr>
        <w:rPr>
          <w:i/>
          <w:lang w:eastAsia="en-AU" w:bidi="ar-SA"/>
        </w:rPr>
      </w:pPr>
    </w:p>
    <w:p w14:paraId="20617D15" w14:textId="7C213AAA" w:rsidR="002F7E92" w:rsidRDefault="002F7E92" w:rsidP="00552C29">
      <w:pPr>
        <w:rPr>
          <w:lang w:eastAsia="en-AU" w:bidi="ar-SA"/>
        </w:rPr>
      </w:pPr>
      <w:r>
        <w:rPr>
          <w:lang w:eastAsia="en-AU" w:bidi="ar-SA"/>
        </w:rPr>
        <w:t xml:space="preserve">The test article for this assay was the enzyme that is the subject of the application. The assay was conducted using </w:t>
      </w:r>
      <w:r w:rsidR="006B64E9">
        <w:rPr>
          <w:lang w:eastAsia="en-AU" w:bidi="ar-SA"/>
        </w:rPr>
        <w:t>a Simulator of the Human Microbial System (SHIME</w:t>
      </w:r>
      <w:r w:rsidR="006B64E9">
        <w:rPr>
          <w:rFonts w:cs="Arial"/>
          <w:lang w:eastAsia="en-AU" w:bidi="ar-SA"/>
        </w:rPr>
        <w:t>®</w:t>
      </w:r>
      <w:r w:rsidR="006B64E9">
        <w:rPr>
          <w:lang w:eastAsia="en-AU" w:bidi="ar-SA"/>
        </w:rPr>
        <w:t xml:space="preserve">) as described by Molly </w:t>
      </w:r>
      <w:r w:rsidR="006B64E9" w:rsidRPr="00A57299">
        <w:rPr>
          <w:i/>
          <w:lang w:eastAsia="en-AU" w:bidi="ar-SA"/>
        </w:rPr>
        <w:t>et al</w:t>
      </w:r>
      <w:r w:rsidR="006B64E9">
        <w:rPr>
          <w:lang w:eastAsia="en-AU" w:bidi="ar-SA"/>
        </w:rPr>
        <w:t xml:space="preserve"> (1993)</w:t>
      </w:r>
      <w:r w:rsidR="00ED0B9B">
        <w:rPr>
          <w:lang w:eastAsia="en-AU" w:bidi="ar-SA"/>
        </w:rPr>
        <w:t>. The assay was conducted in triplicate</w:t>
      </w:r>
      <w:r w:rsidR="000E7ABE">
        <w:rPr>
          <w:lang w:eastAsia="en-AU" w:bidi="ar-SA"/>
        </w:rPr>
        <w:t>,</w:t>
      </w:r>
      <w:r w:rsidR="00ED0B9B" w:rsidDel="00262D8E">
        <w:rPr>
          <w:lang w:eastAsia="en-AU" w:bidi="ar-SA"/>
        </w:rPr>
        <w:t xml:space="preserve"> </w:t>
      </w:r>
      <w:r w:rsidR="00ED0B9B">
        <w:rPr>
          <w:lang w:eastAsia="en-AU" w:bidi="ar-SA"/>
        </w:rPr>
        <w:t xml:space="preserve">simulating the upper gastrointestinal </w:t>
      </w:r>
      <w:r w:rsidR="002E1C77">
        <w:rPr>
          <w:lang w:eastAsia="en-AU" w:bidi="ar-SA"/>
        </w:rPr>
        <w:t>tract under fed conditions. The test article was administered at 175 mg/reactor at the beginning of the gastric phase, a quantity that simulates a dose of 2.5 mg powdered enzyme/kg bw/day, or 0.368 mg Total Organic Solid</w:t>
      </w:r>
      <w:r w:rsidR="00262D8E">
        <w:rPr>
          <w:lang w:eastAsia="en-AU" w:bidi="ar-SA"/>
        </w:rPr>
        <w:t xml:space="preserve">s </w:t>
      </w:r>
      <w:r w:rsidR="002E1C77">
        <w:rPr>
          <w:lang w:eastAsia="en-AU" w:bidi="ar-SA"/>
        </w:rPr>
        <w:t>(TOS)/kg bw/day for a 70 kg person. The gastric phase involved incubation with stirring for 2h at 37</w:t>
      </w:r>
      <w:r w:rsidR="002E1C77">
        <w:rPr>
          <w:rFonts w:cs="Arial"/>
          <w:lang w:eastAsia="en-AU" w:bidi="ar-SA"/>
        </w:rPr>
        <w:t>°</w:t>
      </w:r>
      <w:r w:rsidR="002E1C77">
        <w:rPr>
          <w:lang w:eastAsia="en-AU" w:bidi="ar-SA"/>
        </w:rPr>
        <w:t xml:space="preserve">C, in a reactor in which a sigmoidal decrease of pH was carried out from 5.5 to 2.0, and to which pepsin, phosphatidylcholine, nutritional medium and salts were added. The contents of the reactor were sampled at 0 and 120 min. After 2 h the small intestinal phase was initiated with increased pH from 2.0 to 5.5 within 5 min, from 5.5 to 6.5 in the first hour, 6.5 to 7 in the second hour and maintained at a constant 7.0 for a third hour. Pancreatic enzyme release was simulated by addition of raw animal pancreatic extract, trypsin and chymotrypsin, and bile release was simulated by addition of bovine bile extract. Sampling was conducted at 60, 120 and 180 min of the small intestinal phase. </w:t>
      </w:r>
    </w:p>
    <w:p w14:paraId="233C385A" w14:textId="7AEFAA49" w:rsidR="002E1C77" w:rsidRDefault="002E1C77" w:rsidP="00552C29">
      <w:pPr>
        <w:rPr>
          <w:lang w:eastAsia="en-AU" w:bidi="ar-SA"/>
        </w:rPr>
      </w:pPr>
    </w:p>
    <w:p w14:paraId="5764AEC0" w14:textId="0F49122C" w:rsidR="009D4143" w:rsidRDefault="009D4143" w:rsidP="00552C29">
      <w:pPr>
        <w:rPr>
          <w:lang w:eastAsia="en-AU" w:bidi="ar-SA"/>
        </w:rPr>
      </w:pPr>
      <w:r>
        <w:rPr>
          <w:lang w:eastAsia="en-AU" w:bidi="ar-SA"/>
        </w:rPr>
        <w:lastRenderedPageBreak/>
        <w:t xml:space="preserve">Prior to conducting the assay, the separation of the relevant proteins by SDS-polyacrylamide gel electrophoresis (SDS-PAGE) was conducted. The enzyme </w:t>
      </w:r>
      <w:r w:rsidR="00692DFF">
        <w:rPr>
          <w:lang w:eastAsia="en-AU" w:bidi="ar-SA"/>
        </w:rPr>
        <w:t>eluted</w:t>
      </w:r>
      <w:r>
        <w:rPr>
          <w:lang w:eastAsia="en-AU" w:bidi="ar-SA"/>
        </w:rPr>
        <w:t xml:space="preserve"> as a single band just below 75 kDa. It was degraded if spiked in</w:t>
      </w:r>
      <w:r w:rsidR="000E7ABE">
        <w:rPr>
          <w:lang w:eastAsia="en-AU" w:bidi="ar-SA"/>
        </w:rPr>
        <w:t>to</w:t>
      </w:r>
      <w:r>
        <w:rPr>
          <w:lang w:eastAsia="en-AU" w:bidi="ar-SA"/>
        </w:rPr>
        <w:t xml:space="preserve"> stomach medium which contained pepsin, but no other components of the stomach or small intestinal media interfered with the elution of the enzyme. </w:t>
      </w:r>
    </w:p>
    <w:p w14:paraId="72BBD8E8" w14:textId="65AB034B" w:rsidR="009D4143" w:rsidRDefault="009D4143" w:rsidP="00552C29">
      <w:pPr>
        <w:rPr>
          <w:lang w:eastAsia="en-AU" w:bidi="ar-SA"/>
        </w:rPr>
      </w:pPr>
    </w:p>
    <w:p w14:paraId="6CAA4828" w14:textId="1C5B5E07" w:rsidR="009D4143" w:rsidRDefault="009D4143" w:rsidP="00552C29">
      <w:pPr>
        <w:rPr>
          <w:lang w:eastAsia="en-AU" w:bidi="ar-SA"/>
        </w:rPr>
      </w:pPr>
      <w:r>
        <w:rPr>
          <w:lang w:eastAsia="en-AU" w:bidi="ar-SA"/>
        </w:rPr>
        <w:t xml:space="preserve">Under the conditions of the assay, the enzyme was completely degraded at the 120 min (2 h) sampling </w:t>
      </w:r>
      <w:r w:rsidR="006E7841">
        <w:rPr>
          <w:lang w:eastAsia="en-AU" w:bidi="ar-SA"/>
        </w:rPr>
        <w:t>time-point</w:t>
      </w:r>
      <w:r>
        <w:rPr>
          <w:lang w:eastAsia="en-AU" w:bidi="ar-SA"/>
        </w:rPr>
        <w:t xml:space="preserve"> of the gastric phase, and therefore could not be detected at any sampling </w:t>
      </w:r>
      <w:r w:rsidR="006E7841">
        <w:rPr>
          <w:lang w:eastAsia="en-AU" w:bidi="ar-SA"/>
        </w:rPr>
        <w:t>time-point</w:t>
      </w:r>
      <w:r>
        <w:rPr>
          <w:lang w:eastAsia="en-AU" w:bidi="ar-SA"/>
        </w:rPr>
        <w:t xml:space="preserve"> of the small intestinal phase. </w:t>
      </w:r>
    </w:p>
    <w:p w14:paraId="4B319AB9" w14:textId="0D683043" w:rsidR="00C15A6C" w:rsidRPr="006C1F7F" w:rsidRDefault="00C15A6C" w:rsidP="009925D0">
      <w:pPr>
        <w:pStyle w:val="Heading3"/>
      </w:pPr>
      <w:r w:rsidRPr="006C1F7F">
        <w:t>3.</w:t>
      </w:r>
      <w:r w:rsidR="002471A6">
        <w:t>3</w:t>
      </w:r>
      <w:r w:rsidRPr="006C1F7F">
        <w:t>.</w:t>
      </w:r>
      <w:r w:rsidR="006C1F7F" w:rsidRPr="006C1F7F">
        <w:t>4</w:t>
      </w:r>
      <w:r w:rsidR="0035149D" w:rsidRPr="006C1F7F">
        <w:tab/>
      </w:r>
      <w:r w:rsidRPr="006C1F7F">
        <w:t>Toxicology studies in animals</w:t>
      </w:r>
    </w:p>
    <w:p w14:paraId="2682F258" w14:textId="683883C9" w:rsidR="005B3394" w:rsidRPr="00496A02" w:rsidRDefault="005F1D88" w:rsidP="00496A02">
      <w:pPr>
        <w:pStyle w:val="Heading3"/>
        <w:ind w:left="0" w:firstLine="0"/>
        <w:rPr>
          <w:b w:val="0"/>
        </w:rPr>
      </w:pPr>
      <w:r w:rsidRPr="00496A02">
        <w:rPr>
          <w:b w:val="0"/>
        </w:rPr>
        <w:t>No toxicology studies conducted in animals with the maltogenic alpha</w:t>
      </w:r>
      <w:r w:rsidR="008451D2">
        <w:rPr>
          <w:b w:val="0"/>
        </w:rPr>
        <w:t>-</w:t>
      </w:r>
      <w:r w:rsidRPr="00496A02">
        <w:rPr>
          <w:b w:val="0"/>
        </w:rPr>
        <w:t>amylase that is the subject of this application</w:t>
      </w:r>
      <w:r w:rsidR="000C370B" w:rsidRPr="00496A02">
        <w:rPr>
          <w:b w:val="0"/>
        </w:rPr>
        <w:t xml:space="preserve"> were submitted</w:t>
      </w:r>
      <w:r w:rsidRPr="00496A02">
        <w:rPr>
          <w:b w:val="0"/>
        </w:rPr>
        <w:t>.</w:t>
      </w:r>
      <w:r w:rsidR="003A76CC">
        <w:rPr>
          <w:b w:val="0"/>
        </w:rPr>
        <w:t xml:space="preserve"> Under the Application Handbook, such studies are not required</w:t>
      </w:r>
      <w:r w:rsidRPr="00496A02">
        <w:rPr>
          <w:b w:val="0"/>
        </w:rPr>
        <w:t xml:space="preserve"> </w:t>
      </w:r>
      <w:r w:rsidR="003A76CC">
        <w:rPr>
          <w:b w:val="0"/>
        </w:rPr>
        <w:t xml:space="preserve">based on the results of the bioinformatic analysis </w:t>
      </w:r>
      <w:r w:rsidR="00D22A1A">
        <w:rPr>
          <w:b w:val="0"/>
        </w:rPr>
        <w:t>for similarity to known toxins,</w:t>
      </w:r>
      <w:r w:rsidR="003A76CC">
        <w:rPr>
          <w:b w:val="0"/>
        </w:rPr>
        <w:t xml:space="preserve">  digestion assay</w:t>
      </w:r>
      <w:r w:rsidR="00D22A1A">
        <w:rPr>
          <w:b w:val="0"/>
        </w:rPr>
        <w:t xml:space="preserve"> and the history of safe use of the host and gene donor organisms</w:t>
      </w:r>
      <w:r w:rsidR="003A76CC">
        <w:rPr>
          <w:b w:val="0"/>
        </w:rPr>
        <w:t xml:space="preserve">. However, as supporting information, reviews by EFSA and JECFA of similar maltogenic alpha-amylases were considered. </w:t>
      </w:r>
    </w:p>
    <w:p w14:paraId="222FF446" w14:textId="04E8FFFE" w:rsidR="00552C29" w:rsidRDefault="005B3394" w:rsidP="00496A02">
      <w:pPr>
        <w:pStyle w:val="Heading3"/>
        <w:ind w:left="0" w:firstLine="0"/>
      </w:pPr>
      <w:r w:rsidRPr="00496A02">
        <w:rPr>
          <w:b w:val="0"/>
        </w:rPr>
        <w:t xml:space="preserve">EFSA has reviewed </w:t>
      </w:r>
      <w:r w:rsidR="006330CE">
        <w:rPr>
          <w:b w:val="0"/>
        </w:rPr>
        <w:t>five</w:t>
      </w:r>
      <w:r w:rsidR="005F1D88" w:rsidRPr="00496A02">
        <w:rPr>
          <w:b w:val="0"/>
        </w:rPr>
        <w:t xml:space="preserve"> </w:t>
      </w:r>
      <w:r w:rsidR="006330CE">
        <w:rPr>
          <w:b w:val="0"/>
        </w:rPr>
        <w:t xml:space="preserve">90-day </w:t>
      </w:r>
      <w:r w:rsidR="005F1D88" w:rsidRPr="00496A02">
        <w:rPr>
          <w:b w:val="0"/>
        </w:rPr>
        <w:t xml:space="preserve">repeat-dose studies </w:t>
      </w:r>
      <w:r w:rsidR="00D25830" w:rsidRPr="00496A02">
        <w:rPr>
          <w:b w:val="0"/>
        </w:rPr>
        <w:t xml:space="preserve">in rats </w:t>
      </w:r>
      <w:r w:rsidR="005F1D88" w:rsidRPr="00496A02">
        <w:rPr>
          <w:b w:val="0"/>
        </w:rPr>
        <w:t xml:space="preserve">of similar </w:t>
      </w:r>
      <w:r w:rsidRPr="00496A02">
        <w:rPr>
          <w:b w:val="0"/>
        </w:rPr>
        <w:t>maltogenic alpha</w:t>
      </w:r>
      <w:r w:rsidR="008451D2">
        <w:rPr>
          <w:b w:val="0"/>
        </w:rPr>
        <w:t>-</w:t>
      </w:r>
      <w:r w:rsidRPr="00496A02">
        <w:rPr>
          <w:b w:val="0"/>
        </w:rPr>
        <w:t>amylases, including maltogenic alpha</w:t>
      </w:r>
      <w:r w:rsidR="008451D2">
        <w:rPr>
          <w:b w:val="0"/>
        </w:rPr>
        <w:t>-</w:t>
      </w:r>
      <w:r w:rsidRPr="00496A02">
        <w:rPr>
          <w:b w:val="0"/>
        </w:rPr>
        <w:t xml:space="preserve">amylases produced in strains of </w:t>
      </w:r>
      <w:r w:rsidRPr="00496A02">
        <w:rPr>
          <w:b w:val="0"/>
          <w:i/>
        </w:rPr>
        <w:t>Bacillus subtilis</w:t>
      </w:r>
      <w:r w:rsidRPr="00496A02">
        <w:rPr>
          <w:b w:val="0"/>
        </w:rPr>
        <w:t xml:space="preserve"> genetically modified to express the maltogenic alpha amylase from </w:t>
      </w:r>
      <w:r w:rsidRPr="00496A02">
        <w:rPr>
          <w:b w:val="0"/>
          <w:i/>
        </w:rPr>
        <w:t>G. stearothermophilus</w:t>
      </w:r>
      <w:r w:rsidR="00D25830" w:rsidRPr="00496A02">
        <w:rPr>
          <w:b w:val="0"/>
        </w:rPr>
        <w:t xml:space="preserve">. </w:t>
      </w:r>
      <w:r w:rsidR="006330CE">
        <w:rPr>
          <w:b w:val="0"/>
        </w:rPr>
        <w:t>A</w:t>
      </w:r>
      <w:r w:rsidR="007139C4" w:rsidRPr="00496A02">
        <w:rPr>
          <w:b w:val="0"/>
        </w:rPr>
        <w:t xml:space="preserve">ll studies were conducted under </w:t>
      </w:r>
      <w:r w:rsidR="0007030F">
        <w:rPr>
          <w:b w:val="0"/>
        </w:rPr>
        <w:t>good laboratory practice (</w:t>
      </w:r>
      <w:r w:rsidR="007139C4" w:rsidRPr="00496A02">
        <w:rPr>
          <w:b w:val="0"/>
        </w:rPr>
        <w:t>GLP</w:t>
      </w:r>
      <w:r w:rsidR="0007030F">
        <w:rPr>
          <w:b w:val="0"/>
        </w:rPr>
        <w:t>)</w:t>
      </w:r>
      <w:r w:rsidR="007139C4" w:rsidRPr="00496A02">
        <w:rPr>
          <w:b w:val="0"/>
        </w:rPr>
        <w:t xml:space="preserve"> and in accordance with OECD Guideline 408. </w:t>
      </w:r>
      <w:r w:rsidR="00776BE9" w:rsidRPr="00496A02">
        <w:rPr>
          <w:b w:val="0"/>
        </w:rPr>
        <w:t>No Observed Adverse Effect Levels (NOAELs) in 13-week studies ranged from 318.4 to 986 mg TOS/kg bw/day. In three of the 13-week studies, all of which were conducted using Sprague Dawley rats, the NOAEL was the middle dose of three, because of adverse effects observed at the high dose. Adverse effects observed at the high dose were as follows:</w:t>
      </w:r>
    </w:p>
    <w:p w14:paraId="3E4A3D06" w14:textId="22189792" w:rsidR="00776BE9" w:rsidRDefault="00A202A2" w:rsidP="00C866E0">
      <w:pPr>
        <w:pStyle w:val="ListParagraph"/>
        <w:numPr>
          <w:ilvl w:val="0"/>
          <w:numId w:val="18"/>
        </w:numPr>
        <w:spacing w:after="60"/>
        <w:ind w:left="425" w:hanging="357"/>
        <w:contextualSpacing w:val="0"/>
        <w:rPr>
          <w:lang w:eastAsia="en-AU"/>
        </w:rPr>
      </w:pPr>
      <w:r w:rsidRPr="00C866E0">
        <w:rPr>
          <w:i/>
          <w:lang w:eastAsia="en-AU"/>
        </w:rPr>
        <w:t>90-day study of maltogenic alpha</w:t>
      </w:r>
      <w:r w:rsidR="008451D2" w:rsidRPr="00C866E0">
        <w:rPr>
          <w:i/>
          <w:lang w:eastAsia="en-AU"/>
        </w:rPr>
        <w:t>-</w:t>
      </w:r>
      <w:r w:rsidRPr="00C866E0">
        <w:rPr>
          <w:i/>
          <w:lang w:eastAsia="en-AU"/>
        </w:rPr>
        <w:t xml:space="preserve">amylase from a genetically modified strain of Bacillus subtilis NZYM-OC (EFSA CEP </w:t>
      </w:r>
      <w:r w:rsidR="009A148B" w:rsidRPr="00C866E0">
        <w:rPr>
          <w:i/>
          <w:lang w:eastAsia="en-AU"/>
        </w:rPr>
        <w:t xml:space="preserve">Panel </w:t>
      </w:r>
      <w:r w:rsidRPr="00C866E0">
        <w:rPr>
          <w:i/>
          <w:lang w:eastAsia="en-AU"/>
        </w:rPr>
        <w:t xml:space="preserve">2018a, EFSA reference EFSA-Q-2014-00922) </w:t>
      </w:r>
      <w:r w:rsidRPr="00A202A2">
        <w:rPr>
          <w:lang w:eastAsia="en-AU"/>
        </w:rPr>
        <w:t xml:space="preserve"> </w:t>
      </w:r>
      <w:r w:rsidR="00776BE9">
        <w:rPr>
          <w:lang w:eastAsia="en-AU"/>
        </w:rPr>
        <w:t>Statistically significant decreases in group mean values for total leucocyte count, and counts of lymphocytes, eosinophils, monocytes and large unstained cells, in high-dose females relative to controls.</w:t>
      </w:r>
      <w:r w:rsidR="006330CE">
        <w:rPr>
          <w:lang w:eastAsia="en-AU"/>
        </w:rPr>
        <w:t xml:space="preserve"> NOAEL 371 mg TOS/kg bw/d. </w:t>
      </w:r>
    </w:p>
    <w:p w14:paraId="0E506E97" w14:textId="2343D2CF" w:rsidR="00776BE9" w:rsidRDefault="00A202A2" w:rsidP="00C866E0">
      <w:pPr>
        <w:pStyle w:val="ListParagraph"/>
        <w:numPr>
          <w:ilvl w:val="0"/>
          <w:numId w:val="18"/>
        </w:numPr>
        <w:spacing w:after="60"/>
        <w:ind w:left="425" w:hanging="357"/>
        <w:contextualSpacing w:val="0"/>
        <w:rPr>
          <w:lang w:eastAsia="en-AU"/>
        </w:rPr>
      </w:pPr>
      <w:r w:rsidRPr="00C866E0">
        <w:rPr>
          <w:i/>
          <w:lang w:eastAsia="en-AU"/>
        </w:rPr>
        <w:t>90-day study of maltogenic alpha</w:t>
      </w:r>
      <w:r w:rsidR="008451D2" w:rsidRPr="00C866E0">
        <w:rPr>
          <w:i/>
          <w:lang w:eastAsia="en-AU"/>
        </w:rPr>
        <w:t>-</w:t>
      </w:r>
      <w:r w:rsidRPr="00C866E0">
        <w:rPr>
          <w:i/>
          <w:lang w:eastAsia="en-AU"/>
        </w:rPr>
        <w:t xml:space="preserve">amylase from a genetically modified strain of Bacillus subtilis NZYM-SO (EFSA CEP </w:t>
      </w:r>
      <w:r w:rsidR="009A148B" w:rsidRPr="00C866E0">
        <w:rPr>
          <w:i/>
          <w:lang w:eastAsia="en-AU"/>
        </w:rPr>
        <w:t xml:space="preserve">Panel </w:t>
      </w:r>
      <w:r w:rsidRPr="00C866E0">
        <w:rPr>
          <w:i/>
          <w:lang w:eastAsia="en-AU"/>
        </w:rPr>
        <w:t>2018</w:t>
      </w:r>
      <w:r w:rsidR="006330CE" w:rsidRPr="00C866E0">
        <w:rPr>
          <w:i/>
          <w:lang w:eastAsia="en-AU"/>
        </w:rPr>
        <w:t>b</w:t>
      </w:r>
      <w:r w:rsidRPr="00C866E0">
        <w:rPr>
          <w:i/>
          <w:lang w:eastAsia="en-AU"/>
        </w:rPr>
        <w:t>, EFSA-Q2015-00046)</w:t>
      </w:r>
      <w:r w:rsidRPr="00A202A2">
        <w:rPr>
          <w:lang w:eastAsia="en-AU"/>
        </w:rPr>
        <w:t xml:space="preserve">  </w:t>
      </w:r>
      <w:r w:rsidR="00463A74">
        <w:rPr>
          <w:lang w:eastAsia="en-AU"/>
        </w:rPr>
        <w:t xml:space="preserve">Group mean value for mean corpuscular haemoglobin in high-dose males was significantly higher than that of male controls, and group mean values for total leucocyte count and lymphocyte count in high-dose females were significantly lower than those of female controls. In high-dose groups of both sexes, minimal hyperplasia/hyperkeratosis was observed at the limiting ridge of the stomach, but similar </w:t>
      </w:r>
      <w:r w:rsidR="00463A74">
        <w:rPr>
          <w:lang w:eastAsia="en-AU"/>
        </w:rPr>
        <w:lastRenderedPageBreak/>
        <w:t>changes were not observed in control rats or at lower doses.</w:t>
      </w:r>
      <w:r w:rsidR="006330CE">
        <w:rPr>
          <w:lang w:eastAsia="en-AU"/>
        </w:rPr>
        <w:t xml:space="preserve"> NOAEL 318.4 mg TOS/kg bw/d.</w:t>
      </w:r>
      <w:r w:rsidR="00463A74">
        <w:rPr>
          <w:lang w:eastAsia="en-AU"/>
        </w:rPr>
        <w:t xml:space="preserve"> </w:t>
      </w:r>
    </w:p>
    <w:p w14:paraId="42747895" w14:textId="4233F930" w:rsidR="00463A74" w:rsidRDefault="00A202A2" w:rsidP="00C866E0">
      <w:pPr>
        <w:pStyle w:val="ListParagraph"/>
        <w:numPr>
          <w:ilvl w:val="0"/>
          <w:numId w:val="18"/>
        </w:numPr>
        <w:spacing w:after="60"/>
        <w:ind w:left="425" w:hanging="357"/>
        <w:contextualSpacing w:val="0"/>
        <w:rPr>
          <w:lang w:eastAsia="en-AU"/>
        </w:rPr>
      </w:pPr>
      <w:r w:rsidRPr="00C866E0">
        <w:rPr>
          <w:i/>
          <w:lang w:eastAsia="en-AU"/>
        </w:rPr>
        <w:t>90-day study of maltogenic alpha</w:t>
      </w:r>
      <w:r w:rsidR="008451D2" w:rsidRPr="00C866E0">
        <w:rPr>
          <w:i/>
          <w:lang w:eastAsia="en-AU"/>
        </w:rPr>
        <w:t>-</w:t>
      </w:r>
      <w:r w:rsidRPr="00C866E0">
        <w:rPr>
          <w:i/>
          <w:lang w:eastAsia="en-AU"/>
        </w:rPr>
        <w:t xml:space="preserve">amylase from a genetically modified strain of Bacillus subtilis NZYM-SM (EFSA CEF </w:t>
      </w:r>
      <w:r w:rsidR="009A148B" w:rsidRPr="00C866E0">
        <w:rPr>
          <w:i/>
          <w:lang w:eastAsia="en-AU"/>
        </w:rPr>
        <w:t xml:space="preserve">Panel </w:t>
      </w:r>
      <w:r w:rsidRPr="00C866E0">
        <w:rPr>
          <w:i/>
          <w:lang w:eastAsia="en-AU"/>
        </w:rPr>
        <w:t>2018a, EFSA-Q2015-00046</w:t>
      </w:r>
      <w:r w:rsidR="00BB7B03" w:rsidRPr="00C866E0">
        <w:rPr>
          <w:i/>
          <w:lang w:eastAsia="en-AU"/>
        </w:rPr>
        <w:t>)</w:t>
      </w:r>
      <w:r>
        <w:rPr>
          <w:lang w:eastAsia="en-AU"/>
        </w:rPr>
        <w:t xml:space="preserve"> </w:t>
      </w:r>
      <w:r w:rsidR="00463A74">
        <w:rPr>
          <w:lang w:eastAsia="en-AU"/>
        </w:rPr>
        <w:t>Significant changes, relative to those of control animals of the same sex, in group mean values for clinical chemistry parameters relevant to renal function were observed at the high dose.</w:t>
      </w:r>
      <w:r w:rsidR="006330CE">
        <w:rPr>
          <w:lang w:eastAsia="en-AU"/>
        </w:rPr>
        <w:t xml:space="preserve"> NOAEL 320 mg TOS/kg bw/day.</w:t>
      </w:r>
      <w:r w:rsidR="00463A74">
        <w:rPr>
          <w:lang w:eastAsia="en-AU"/>
        </w:rPr>
        <w:t xml:space="preserve"> </w:t>
      </w:r>
    </w:p>
    <w:p w14:paraId="512AE6B0" w14:textId="5B8E4FE6" w:rsidR="00463A74" w:rsidRDefault="00463A74" w:rsidP="00463A74">
      <w:pPr>
        <w:rPr>
          <w:lang w:eastAsia="en-AU" w:bidi="ar-SA"/>
        </w:rPr>
      </w:pPr>
    </w:p>
    <w:p w14:paraId="7D9C1D44" w14:textId="20BBCE1F" w:rsidR="00463A74" w:rsidRDefault="00463A74" w:rsidP="00463A74">
      <w:pPr>
        <w:rPr>
          <w:lang w:eastAsia="en-AU" w:bidi="ar-SA"/>
        </w:rPr>
      </w:pPr>
      <w:r>
        <w:rPr>
          <w:lang w:eastAsia="en-AU" w:bidi="ar-SA"/>
        </w:rPr>
        <w:t>In summary, findings at the high</w:t>
      </w:r>
      <w:r w:rsidR="00496A02">
        <w:rPr>
          <w:lang w:eastAsia="en-AU" w:bidi="ar-SA"/>
        </w:rPr>
        <w:t>est</w:t>
      </w:r>
      <w:r>
        <w:rPr>
          <w:lang w:eastAsia="en-AU" w:bidi="ar-SA"/>
        </w:rPr>
        <w:t xml:space="preserve"> dose were not consistent between the three studies, with the exceptions of the decreases in group mean total leucocyte count and lymphocyte count in high-dose females, relative to controls</w:t>
      </w:r>
      <w:r w:rsidR="0048559C">
        <w:rPr>
          <w:lang w:eastAsia="en-AU" w:bidi="ar-SA"/>
        </w:rPr>
        <w:t>, in two studies</w:t>
      </w:r>
      <w:r>
        <w:rPr>
          <w:lang w:eastAsia="en-AU" w:bidi="ar-SA"/>
        </w:rPr>
        <w:t xml:space="preserve">. </w:t>
      </w:r>
      <w:r w:rsidR="006330CE">
        <w:rPr>
          <w:lang w:eastAsia="en-AU" w:bidi="ar-SA"/>
        </w:rPr>
        <w:t xml:space="preserve">The other two 90-day studies reviewed by EFSA </w:t>
      </w:r>
      <w:r w:rsidR="006330CE" w:rsidRPr="009A148B">
        <w:rPr>
          <w:lang w:eastAsia="en-AU" w:bidi="ar-SA"/>
        </w:rPr>
        <w:t>(EFSA CEF Panel 2018b, EFSA CEP Panel 2019</w:t>
      </w:r>
      <w:r w:rsidR="006330CE">
        <w:rPr>
          <w:lang w:eastAsia="en-AU" w:bidi="ar-SA"/>
        </w:rPr>
        <w:t xml:space="preserve">) were conducted using Wistar rats. The test articles were maltogenic alpha-amylase from genetically modified </w:t>
      </w:r>
      <w:r w:rsidR="006330CE" w:rsidRPr="006330CE">
        <w:rPr>
          <w:i/>
          <w:lang w:eastAsia="en-AU" w:bidi="ar-SA"/>
        </w:rPr>
        <w:t>B. subtilis</w:t>
      </w:r>
      <w:r w:rsidR="006330CE">
        <w:rPr>
          <w:lang w:eastAsia="en-AU" w:bidi="ar-SA"/>
        </w:rPr>
        <w:t xml:space="preserve"> MAM and genetically modified </w:t>
      </w:r>
      <w:r w:rsidR="006330CE" w:rsidRPr="006330CE">
        <w:rPr>
          <w:i/>
          <w:lang w:eastAsia="en-AU" w:bidi="ar-SA"/>
        </w:rPr>
        <w:t>E. coli</w:t>
      </w:r>
      <w:r w:rsidR="006330CE">
        <w:rPr>
          <w:lang w:eastAsia="en-AU" w:bidi="ar-SA"/>
        </w:rPr>
        <w:t xml:space="preserve"> BLASC respectively, and the NOAEL was the highest dose tested, 986 mg TOS/kg bw/d and 838 mg TOS/kg bw/d respectively. </w:t>
      </w:r>
      <w:r w:rsidR="00A367DF">
        <w:rPr>
          <w:lang w:eastAsia="en-AU" w:bidi="ar-SA"/>
        </w:rPr>
        <w:t>The relevance of the adverse findings observed in one strain of rat is uncertain, since the test articles were not the same enzyme as the subject of the current application.</w:t>
      </w:r>
      <w:r w:rsidR="007D4DE3">
        <w:rPr>
          <w:lang w:eastAsia="en-AU" w:bidi="ar-SA"/>
        </w:rPr>
        <w:t xml:space="preserve"> In all the EFSA assessments, it was concluded that there were no safety concerns under the intended conditions of use, because there was a sufficiently high margin of exposure between the rodent NOAEL and the estimated dietary exposure of human consumers.  </w:t>
      </w:r>
    </w:p>
    <w:p w14:paraId="7286D94B" w14:textId="77777777" w:rsidR="006330CE" w:rsidRDefault="006330CE" w:rsidP="00463A74">
      <w:pPr>
        <w:rPr>
          <w:lang w:eastAsia="en-AU" w:bidi="ar-SA"/>
        </w:rPr>
      </w:pPr>
    </w:p>
    <w:p w14:paraId="01E11256" w14:textId="1172C580" w:rsidR="00A202A2" w:rsidRPr="00776BE9" w:rsidRDefault="00A202A2" w:rsidP="00463A74">
      <w:pPr>
        <w:rPr>
          <w:lang w:eastAsia="en-AU" w:bidi="ar-SA"/>
        </w:rPr>
      </w:pPr>
      <w:r w:rsidRPr="00A202A2">
        <w:rPr>
          <w:lang w:eastAsia="en-AU" w:bidi="ar-SA"/>
        </w:rPr>
        <w:t>Other studies of similar maltogenic alpha</w:t>
      </w:r>
      <w:r w:rsidR="008451D2">
        <w:rPr>
          <w:lang w:eastAsia="en-AU" w:bidi="ar-SA"/>
        </w:rPr>
        <w:t>-</w:t>
      </w:r>
      <w:r w:rsidRPr="00A202A2">
        <w:rPr>
          <w:lang w:eastAsia="en-AU" w:bidi="ar-SA"/>
        </w:rPr>
        <w:t>amylases</w:t>
      </w:r>
      <w:r w:rsidR="00A367DF">
        <w:rPr>
          <w:lang w:eastAsia="en-AU" w:bidi="ar-SA"/>
        </w:rPr>
        <w:t xml:space="preserve">, originating from </w:t>
      </w:r>
      <w:r w:rsidR="00A367DF" w:rsidRPr="00A367DF">
        <w:rPr>
          <w:i/>
          <w:lang w:eastAsia="en-AU" w:bidi="ar-SA"/>
        </w:rPr>
        <w:t>B. stearothermophilus</w:t>
      </w:r>
      <w:r w:rsidR="00A367DF">
        <w:rPr>
          <w:lang w:eastAsia="en-AU" w:bidi="ar-SA"/>
        </w:rPr>
        <w:t xml:space="preserve"> but expressed in strains of </w:t>
      </w:r>
      <w:r w:rsidR="00A367DF" w:rsidRPr="00A367DF">
        <w:rPr>
          <w:i/>
          <w:lang w:eastAsia="en-AU" w:bidi="ar-SA"/>
        </w:rPr>
        <w:t>B. subtilis</w:t>
      </w:r>
      <w:r w:rsidR="00C53C06">
        <w:rPr>
          <w:i/>
          <w:lang w:eastAsia="en-AU" w:bidi="ar-SA"/>
        </w:rPr>
        <w:t>,</w:t>
      </w:r>
      <w:r w:rsidRPr="00A202A2">
        <w:rPr>
          <w:lang w:eastAsia="en-AU" w:bidi="ar-SA"/>
        </w:rPr>
        <w:t xml:space="preserve"> were included in GRAS Notifications (GRN 746 and 751) to which the US FDA responded with “No Questions” letters.</w:t>
      </w:r>
      <w:r w:rsidR="006E7841">
        <w:rPr>
          <w:lang w:eastAsia="en-AU" w:bidi="ar-SA"/>
        </w:rPr>
        <w:t xml:space="preserve"> </w:t>
      </w:r>
    </w:p>
    <w:p w14:paraId="7C0FCE18" w14:textId="69C30B8D" w:rsidR="006E7841" w:rsidRDefault="006E7841" w:rsidP="00463A74">
      <w:pPr>
        <w:rPr>
          <w:lang w:eastAsia="en-AU" w:bidi="ar-SA"/>
        </w:rPr>
      </w:pPr>
    </w:p>
    <w:p w14:paraId="7A9F1E79" w14:textId="225B750E" w:rsidR="006E7841" w:rsidRPr="00776BE9" w:rsidRDefault="006E7841" w:rsidP="00463A74">
      <w:pPr>
        <w:rPr>
          <w:lang w:eastAsia="en-AU" w:bidi="ar-SA"/>
        </w:rPr>
      </w:pPr>
      <w:r>
        <w:rPr>
          <w:lang w:eastAsia="en-AU" w:bidi="ar-SA"/>
        </w:rPr>
        <w:t xml:space="preserve">JECFA reviewed alpha-amylase from </w:t>
      </w:r>
      <w:r w:rsidRPr="002C3C61">
        <w:rPr>
          <w:i/>
          <w:lang w:eastAsia="en-AU" w:bidi="ar-SA"/>
        </w:rPr>
        <w:t>B. ste</w:t>
      </w:r>
      <w:r w:rsidR="002C3C61">
        <w:rPr>
          <w:i/>
          <w:lang w:eastAsia="en-AU" w:bidi="ar-SA"/>
        </w:rPr>
        <w:t>a</w:t>
      </w:r>
      <w:r w:rsidRPr="002C3C61">
        <w:rPr>
          <w:i/>
          <w:lang w:eastAsia="en-AU" w:bidi="ar-SA"/>
        </w:rPr>
        <w:t>rothermophilus</w:t>
      </w:r>
      <w:r>
        <w:rPr>
          <w:lang w:eastAsia="en-AU" w:bidi="ar-SA"/>
        </w:rPr>
        <w:t xml:space="preserve"> and concluded that there were no adverse effects in a 13-week dog study, or in a one-generation reproduction study in rats (JECFA 1990).</w:t>
      </w:r>
    </w:p>
    <w:p w14:paraId="16DC0996" w14:textId="0361AA89" w:rsidR="00C15A6C" w:rsidRPr="006C1F7F" w:rsidRDefault="00C15A6C" w:rsidP="009925D0">
      <w:pPr>
        <w:pStyle w:val="Heading3"/>
      </w:pPr>
      <w:r w:rsidRPr="006C1F7F">
        <w:t>3.</w:t>
      </w:r>
      <w:r w:rsidR="002471A6">
        <w:t>3</w:t>
      </w:r>
      <w:r w:rsidRPr="006C1F7F">
        <w:t>.</w:t>
      </w:r>
      <w:r w:rsidR="006C1F7F" w:rsidRPr="006C1F7F">
        <w:t>5</w:t>
      </w:r>
      <w:r w:rsidR="0035149D" w:rsidRPr="006C1F7F">
        <w:tab/>
      </w:r>
      <w:r w:rsidRPr="006C1F7F">
        <w:t>Genotoxicity assays</w:t>
      </w:r>
    </w:p>
    <w:p w14:paraId="36E7352C" w14:textId="14958E9D" w:rsidR="00552C29" w:rsidRDefault="000C370B" w:rsidP="00AA78CC">
      <w:pPr>
        <w:rPr>
          <w:lang w:eastAsia="en-AU" w:bidi="ar-SA"/>
        </w:rPr>
      </w:pPr>
      <w:r w:rsidRPr="000C370B">
        <w:rPr>
          <w:lang w:eastAsia="en-AU" w:bidi="ar-SA"/>
        </w:rPr>
        <w:t xml:space="preserve">No </w:t>
      </w:r>
      <w:r>
        <w:rPr>
          <w:lang w:eastAsia="en-AU" w:bidi="ar-SA"/>
        </w:rPr>
        <w:t>genotoxicity assays</w:t>
      </w:r>
      <w:r w:rsidRPr="000C370B">
        <w:rPr>
          <w:lang w:eastAsia="en-AU" w:bidi="ar-SA"/>
        </w:rPr>
        <w:t xml:space="preserve"> conducted with the maltogenic alpha</w:t>
      </w:r>
      <w:r w:rsidR="008451D2">
        <w:rPr>
          <w:lang w:eastAsia="en-AU" w:bidi="ar-SA"/>
        </w:rPr>
        <w:t>-</w:t>
      </w:r>
      <w:r w:rsidRPr="000C370B">
        <w:rPr>
          <w:lang w:eastAsia="en-AU" w:bidi="ar-SA"/>
        </w:rPr>
        <w:t>amylase that is the subject of this application were submitted.</w:t>
      </w:r>
      <w:r w:rsidR="003A76CC">
        <w:rPr>
          <w:lang w:eastAsia="en-AU" w:bidi="ar-SA"/>
        </w:rPr>
        <w:t xml:space="preserve"> </w:t>
      </w:r>
      <w:r w:rsidR="003A76CC" w:rsidRPr="003A76CC">
        <w:rPr>
          <w:lang w:eastAsia="en-AU" w:bidi="ar-SA"/>
        </w:rPr>
        <w:t>Under the Application Handbook, such studies are not required based on the results of the bioinformatic analysis for similarity to known toxins</w:t>
      </w:r>
      <w:r w:rsidR="00D22A1A">
        <w:rPr>
          <w:lang w:eastAsia="en-AU" w:bidi="ar-SA"/>
        </w:rPr>
        <w:t>,</w:t>
      </w:r>
      <w:r w:rsidR="003A76CC" w:rsidRPr="003A76CC">
        <w:rPr>
          <w:lang w:eastAsia="en-AU" w:bidi="ar-SA"/>
        </w:rPr>
        <w:t xml:space="preserve"> digestion assay</w:t>
      </w:r>
      <w:r w:rsidR="00D22A1A" w:rsidRPr="00D22A1A">
        <w:t xml:space="preserve"> </w:t>
      </w:r>
      <w:r w:rsidR="00D22A1A" w:rsidRPr="00D22A1A">
        <w:rPr>
          <w:lang w:eastAsia="en-AU" w:bidi="ar-SA"/>
        </w:rPr>
        <w:t>and the history of safe use of the host and gene donor organisms</w:t>
      </w:r>
      <w:r w:rsidR="003A76CC" w:rsidRPr="003A76CC">
        <w:rPr>
          <w:lang w:eastAsia="en-AU" w:bidi="ar-SA"/>
        </w:rPr>
        <w:t>. However, as supporting informa</w:t>
      </w:r>
      <w:r w:rsidR="003A76CC">
        <w:rPr>
          <w:lang w:eastAsia="en-AU" w:bidi="ar-SA"/>
        </w:rPr>
        <w:t xml:space="preserve">tion, reviews by EFSA </w:t>
      </w:r>
      <w:r w:rsidR="003A76CC" w:rsidRPr="003A76CC">
        <w:rPr>
          <w:lang w:eastAsia="en-AU" w:bidi="ar-SA"/>
        </w:rPr>
        <w:t>of similar maltogenic alpha-amylases were considered.</w:t>
      </w:r>
    </w:p>
    <w:p w14:paraId="7B03E172" w14:textId="7DC92853" w:rsidR="00672250" w:rsidRDefault="00672250" w:rsidP="00AA78CC">
      <w:pPr>
        <w:rPr>
          <w:lang w:eastAsia="en-AU" w:bidi="ar-SA"/>
        </w:rPr>
      </w:pPr>
    </w:p>
    <w:p w14:paraId="24EF004C" w14:textId="216C3983" w:rsidR="004B63D9" w:rsidRPr="00DE377C" w:rsidRDefault="00672250" w:rsidP="00AA78CC">
      <w:pPr>
        <w:rPr>
          <w:lang w:eastAsia="en-AU" w:bidi="ar-SA"/>
        </w:rPr>
      </w:pPr>
      <w:r>
        <w:rPr>
          <w:lang w:eastAsia="en-AU" w:bidi="ar-SA"/>
        </w:rPr>
        <w:t>Genotoxicity assays of a number of similar maltogenic alpha</w:t>
      </w:r>
      <w:r w:rsidR="008451D2">
        <w:rPr>
          <w:lang w:eastAsia="en-AU" w:bidi="ar-SA"/>
        </w:rPr>
        <w:t>-</w:t>
      </w:r>
      <w:r>
        <w:rPr>
          <w:lang w:eastAsia="en-AU" w:bidi="ar-SA"/>
        </w:rPr>
        <w:t>amylases, including maltogenic alpha</w:t>
      </w:r>
      <w:r w:rsidR="008451D2">
        <w:rPr>
          <w:lang w:eastAsia="en-AU" w:bidi="ar-SA"/>
        </w:rPr>
        <w:t>-</w:t>
      </w:r>
      <w:r>
        <w:rPr>
          <w:lang w:eastAsia="en-AU" w:bidi="ar-SA"/>
        </w:rPr>
        <w:t xml:space="preserve">amylases produced by </w:t>
      </w:r>
      <w:r w:rsidRPr="00672250">
        <w:rPr>
          <w:i/>
          <w:lang w:eastAsia="en-AU" w:bidi="ar-SA"/>
        </w:rPr>
        <w:t>B. subtilis</w:t>
      </w:r>
      <w:r>
        <w:rPr>
          <w:lang w:eastAsia="en-AU" w:bidi="ar-SA"/>
        </w:rPr>
        <w:t xml:space="preserve"> genetically engi</w:t>
      </w:r>
      <w:r w:rsidR="00286D4A">
        <w:rPr>
          <w:lang w:eastAsia="en-AU" w:bidi="ar-SA"/>
        </w:rPr>
        <w:t>neered to express the maltogen</w:t>
      </w:r>
      <w:r>
        <w:rPr>
          <w:lang w:eastAsia="en-AU" w:bidi="ar-SA"/>
        </w:rPr>
        <w:t>ic alpha</w:t>
      </w:r>
      <w:r w:rsidR="008451D2">
        <w:rPr>
          <w:lang w:eastAsia="en-AU" w:bidi="ar-SA"/>
        </w:rPr>
        <w:t>-</w:t>
      </w:r>
      <w:r>
        <w:rPr>
          <w:lang w:eastAsia="en-AU" w:bidi="ar-SA"/>
        </w:rPr>
        <w:t xml:space="preserve">amylase of </w:t>
      </w:r>
      <w:r w:rsidRPr="00672250">
        <w:rPr>
          <w:i/>
          <w:lang w:eastAsia="en-AU" w:bidi="ar-SA"/>
        </w:rPr>
        <w:t>B.</w:t>
      </w:r>
      <w:r w:rsidR="00B91C6F">
        <w:rPr>
          <w:i/>
          <w:lang w:eastAsia="en-AU" w:bidi="ar-SA"/>
        </w:rPr>
        <w:t xml:space="preserve"> </w:t>
      </w:r>
      <w:r w:rsidRPr="00672250">
        <w:rPr>
          <w:i/>
          <w:lang w:eastAsia="en-AU" w:bidi="ar-SA"/>
        </w:rPr>
        <w:t>stearothermophilus</w:t>
      </w:r>
      <w:r>
        <w:rPr>
          <w:lang w:eastAsia="en-AU" w:bidi="ar-SA"/>
        </w:rPr>
        <w:t>, have been recently reviewed by EFSA (</w:t>
      </w:r>
      <w:r w:rsidR="00ED51B6" w:rsidRPr="009A148B">
        <w:rPr>
          <w:lang w:eastAsia="en-AU" w:bidi="ar-SA"/>
        </w:rPr>
        <w:t xml:space="preserve">EFSA CEP Panel </w:t>
      </w:r>
      <w:r w:rsidRPr="009A148B">
        <w:rPr>
          <w:lang w:eastAsia="en-AU" w:bidi="ar-SA"/>
        </w:rPr>
        <w:t>2018a</w:t>
      </w:r>
      <w:r w:rsidR="00ED51B6" w:rsidRPr="009A148B">
        <w:rPr>
          <w:lang w:eastAsia="en-AU" w:bidi="ar-SA"/>
        </w:rPr>
        <w:t>,</w:t>
      </w:r>
      <w:r w:rsidRPr="009A148B">
        <w:rPr>
          <w:lang w:eastAsia="en-AU" w:bidi="ar-SA"/>
        </w:rPr>
        <w:t>b</w:t>
      </w:r>
      <w:r w:rsidR="00ED51B6" w:rsidRPr="009A148B">
        <w:rPr>
          <w:lang w:eastAsia="en-AU" w:bidi="ar-SA"/>
        </w:rPr>
        <w:t xml:space="preserve">, </w:t>
      </w:r>
      <w:r w:rsidR="00ED51B6" w:rsidRPr="00B46AA7">
        <w:rPr>
          <w:lang w:eastAsia="en-AU" w:bidi="ar-SA"/>
        </w:rPr>
        <w:t xml:space="preserve">2019; </w:t>
      </w:r>
      <w:r w:rsidR="00ED51B6" w:rsidRPr="00B46AA7">
        <w:rPr>
          <w:lang w:eastAsia="en-AU" w:bidi="ar-SA"/>
        </w:rPr>
        <w:lastRenderedPageBreak/>
        <w:t>EFSA CEF Panel 2018a,b</w:t>
      </w:r>
      <w:r w:rsidRPr="00B46AA7">
        <w:rPr>
          <w:lang w:eastAsia="en-AU" w:bidi="ar-SA"/>
        </w:rPr>
        <w:t>).</w:t>
      </w:r>
      <w:r>
        <w:rPr>
          <w:lang w:eastAsia="en-AU" w:bidi="ar-SA"/>
        </w:rPr>
        <w:t xml:space="preserve"> Assays included bacterial reverse mutation assays, </w:t>
      </w:r>
      <w:r w:rsidRPr="00672250">
        <w:rPr>
          <w:i/>
          <w:lang w:eastAsia="en-AU" w:bidi="ar-SA"/>
        </w:rPr>
        <w:t>in vitro</w:t>
      </w:r>
      <w:r>
        <w:rPr>
          <w:lang w:eastAsia="en-AU" w:bidi="ar-SA"/>
        </w:rPr>
        <w:t xml:space="preserve"> chromosomal aberration tests, and an </w:t>
      </w:r>
      <w:r w:rsidRPr="00672250">
        <w:rPr>
          <w:i/>
          <w:lang w:eastAsia="en-AU" w:bidi="ar-SA"/>
        </w:rPr>
        <w:t>in vitro</w:t>
      </w:r>
      <w:r>
        <w:rPr>
          <w:lang w:eastAsia="en-AU" w:bidi="ar-SA"/>
        </w:rPr>
        <w:t xml:space="preserve"> micronucleus test in human peripheral blood lymphocytes. The assays were conducted under GLP and in compliance with the relevant OECD guidelines.</w:t>
      </w:r>
      <w:r w:rsidR="00286D4A">
        <w:rPr>
          <w:lang w:eastAsia="en-AU" w:bidi="ar-SA"/>
        </w:rPr>
        <w:t xml:space="preserve"> </w:t>
      </w:r>
      <w:r>
        <w:rPr>
          <w:lang w:eastAsia="en-AU" w:bidi="ar-SA"/>
        </w:rPr>
        <w:t>The weight of evidence supports the conclusion that the tested maltogenic alpha</w:t>
      </w:r>
      <w:r w:rsidR="006B0595">
        <w:rPr>
          <w:lang w:eastAsia="en-AU" w:bidi="ar-SA"/>
        </w:rPr>
        <w:t>-</w:t>
      </w:r>
      <w:r>
        <w:rPr>
          <w:lang w:eastAsia="en-AU" w:bidi="ar-SA"/>
        </w:rPr>
        <w:t xml:space="preserve">amylases are not genotoxic. </w:t>
      </w:r>
    </w:p>
    <w:p w14:paraId="382E8460" w14:textId="145E905A" w:rsidR="00C15A6C" w:rsidRPr="006C1F7F" w:rsidRDefault="00C15A6C" w:rsidP="009925D0">
      <w:pPr>
        <w:pStyle w:val="Heading3"/>
      </w:pPr>
      <w:r w:rsidRPr="006C1F7F">
        <w:t>3.</w:t>
      </w:r>
      <w:r w:rsidR="002471A6">
        <w:t>3</w:t>
      </w:r>
      <w:r w:rsidRPr="006C1F7F">
        <w:t>.</w:t>
      </w:r>
      <w:r w:rsidR="006C1F7F" w:rsidRPr="006C1F7F">
        <w:t>6</w:t>
      </w:r>
      <w:r w:rsidR="0035149D" w:rsidRPr="006C1F7F">
        <w:tab/>
      </w:r>
      <w:r w:rsidR="00FD22F2" w:rsidRPr="006C1F7F">
        <w:t>P</w:t>
      </w:r>
      <w:r w:rsidRPr="006C1F7F">
        <w:t xml:space="preserve">otential for allergenicity </w:t>
      </w:r>
    </w:p>
    <w:p w14:paraId="697455CF" w14:textId="226A339C" w:rsidR="00102335" w:rsidRPr="00496A02" w:rsidRDefault="00B8062E" w:rsidP="00496A02">
      <w:pPr>
        <w:pStyle w:val="Heading3"/>
        <w:ind w:left="0" w:firstLine="0"/>
        <w:rPr>
          <w:b w:val="0"/>
        </w:rPr>
      </w:pPr>
      <w:r w:rsidRPr="00496A02">
        <w:rPr>
          <w:b w:val="0"/>
        </w:rPr>
        <w:t xml:space="preserve">A sequence homology search was conducted </w:t>
      </w:r>
      <w:r w:rsidR="00A11419" w:rsidRPr="00496A02">
        <w:rPr>
          <w:b w:val="0"/>
        </w:rPr>
        <w:t xml:space="preserve">by the applicant in 2020, </w:t>
      </w:r>
      <w:r w:rsidRPr="00496A02">
        <w:rPr>
          <w:b w:val="0"/>
        </w:rPr>
        <w:t>using the AllergenOnline</w:t>
      </w:r>
      <w:r w:rsidRPr="00496A02">
        <w:rPr>
          <w:rStyle w:val="FootnoteReference"/>
          <w:b w:val="0"/>
        </w:rPr>
        <w:footnoteReference w:id="6"/>
      </w:r>
      <w:r w:rsidRPr="00496A02">
        <w:rPr>
          <w:b w:val="0"/>
        </w:rPr>
        <w:t xml:space="preserve"> database using a sliding window of 80 amino acids of the full-length amino acid sequence. </w:t>
      </w:r>
      <w:r w:rsidR="003F67C8" w:rsidRPr="00496A02">
        <w:rPr>
          <w:b w:val="0"/>
        </w:rPr>
        <w:t>Six i</w:t>
      </w:r>
      <w:r w:rsidRPr="00496A02">
        <w:rPr>
          <w:b w:val="0"/>
        </w:rPr>
        <w:t>dentity matches &gt;35% were</w:t>
      </w:r>
      <w:r w:rsidR="003F67C8" w:rsidRPr="00496A02">
        <w:rPr>
          <w:b w:val="0"/>
        </w:rPr>
        <w:t xml:space="preserve"> found; two for proteins from </w:t>
      </w:r>
      <w:r w:rsidR="003F67C8" w:rsidRPr="00496A02">
        <w:rPr>
          <w:b w:val="0"/>
          <w:i/>
        </w:rPr>
        <w:t>Aspergillus oryzae</w:t>
      </w:r>
      <w:r w:rsidR="003F67C8" w:rsidRPr="00496A02">
        <w:rPr>
          <w:b w:val="0"/>
        </w:rPr>
        <w:t xml:space="preserve">, one for a protein from </w:t>
      </w:r>
      <w:r w:rsidR="003F67C8" w:rsidRPr="00496A02">
        <w:rPr>
          <w:b w:val="0"/>
          <w:i/>
        </w:rPr>
        <w:t>Schizophyllum commune</w:t>
      </w:r>
      <w:r w:rsidR="003F67C8" w:rsidRPr="00496A02">
        <w:rPr>
          <w:b w:val="0"/>
        </w:rPr>
        <w:t xml:space="preserve">, one for a protein from </w:t>
      </w:r>
      <w:r w:rsidR="003F67C8" w:rsidRPr="00496A02">
        <w:rPr>
          <w:b w:val="0"/>
          <w:i/>
        </w:rPr>
        <w:t>Aedes aegypti</w:t>
      </w:r>
      <w:r w:rsidR="003F67C8" w:rsidRPr="00496A02">
        <w:rPr>
          <w:b w:val="0"/>
        </w:rPr>
        <w:t xml:space="preserve"> and two for proteins from </w:t>
      </w:r>
      <w:r w:rsidR="003F67C8" w:rsidRPr="00496A02">
        <w:rPr>
          <w:b w:val="0"/>
          <w:i/>
        </w:rPr>
        <w:t>Aspergillus fumigatus</w:t>
      </w:r>
      <w:r w:rsidR="003F67C8" w:rsidRPr="00496A02">
        <w:rPr>
          <w:b w:val="0"/>
        </w:rPr>
        <w:t xml:space="preserve">. All the allergenic proteins are sensitisers by inhalation rather than food allergens. </w:t>
      </w:r>
    </w:p>
    <w:p w14:paraId="4A014097" w14:textId="6702EE55" w:rsidR="00B82B49" w:rsidRDefault="0098263D" w:rsidP="0098263D">
      <w:pPr>
        <w:pStyle w:val="Heading3"/>
        <w:ind w:left="0" w:firstLine="0"/>
      </w:pPr>
      <w:r>
        <w:rPr>
          <w:b w:val="0"/>
        </w:rPr>
        <w:t xml:space="preserve">Additional </w:t>
      </w:r>
      <w:r w:rsidR="003F67C8" w:rsidRPr="00496A02">
        <w:rPr>
          <w:b w:val="0"/>
        </w:rPr>
        <w:t>homology search</w:t>
      </w:r>
      <w:r>
        <w:rPr>
          <w:b w:val="0"/>
        </w:rPr>
        <w:t>es</w:t>
      </w:r>
      <w:r w:rsidR="003F67C8" w:rsidRPr="00496A02">
        <w:rPr>
          <w:b w:val="0"/>
        </w:rPr>
        <w:t xml:space="preserve"> of the same </w:t>
      </w:r>
      <w:r w:rsidR="003F67C8" w:rsidRPr="0098263D">
        <w:rPr>
          <w:b w:val="0"/>
        </w:rPr>
        <w:t xml:space="preserve">database conducted </w:t>
      </w:r>
      <w:r w:rsidR="00B82B49" w:rsidRPr="0098263D">
        <w:rPr>
          <w:b w:val="0"/>
        </w:rPr>
        <w:t xml:space="preserve">by the </w:t>
      </w:r>
      <w:r w:rsidR="006859D6" w:rsidRPr="0098263D">
        <w:rPr>
          <w:b w:val="0"/>
        </w:rPr>
        <w:t>applicant in</w:t>
      </w:r>
      <w:r w:rsidR="00A11419" w:rsidRPr="0098263D">
        <w:rPr>
          <w:b w:val="0"/>
        </w:rPr>
        <w:t xml:space="preserve"> 2020</w:t>
      </w:r>
      <w:r>
        <w:rPr>
          <w:b w:val="0"/>
        </w:rPr>
        <w:t xml:space="preserve"> were the </w:t>
      </w:r>
      <w:r w:rsidR="003F67C8" w:rsidRPr="0098263D">
        <w:rPr>
          <w:b w:val="0"/>
        </w:rPr>
        <w:t xml:space="preserve">highly conservative 8-mer </w:t>
      </w:r>
      <w:r w:rsidR="006B0595">
        <w:rPr>
          <w:b w:val="0"/>
        </w:rPr>
        <w:t>search</w:t>
      </w:r>
      <w:r w:rsidR="003F67C8" w:rsidRPr="0098263D">
        <w:rPr>
          <w:b w:val="0"/>
        </w:rPr>
        <w:t xml:space="preserve">, and </w:t>
      </w:r>
      <w:r w:rsidR="0087368F" w:rsidRPr="0098263D">
        <w:rPr>
          <w:b w:val="0"/>
        </w:rPr>
        <w:t xml:space="preserve">the full length FASTA36 alignment of the amino acid sequence </w:t>
      </w:r>
      <w:r w:rsidR="00E3011E">
        <w:rPr>
          <w:b w:val="0"/>
        </w:rPr>
        <w:t>(</w:t>
      </w:r>
      <w:r w:rsidR="0087368F" w:rsidRPr="0098263D">
        <w:rPr>
          <w:b w:val="0"/>
        </w:rPr>
        <w:t xml:space="preserve">using the default settings of E value </w:t>
      </w:r>
      <w:r w:rsidR="00286D4A" w:rsidRPr="0098263D">
        <w:rPr>
          <w:b w:val="0"/>
        </w:rPr>
        <w:t>cut-off</w:t>
      </w:r>
      <w:r w:rsidR="0087368F" w:rsidRPr="0098263D">
        <w:rPr>
          <w:b w:val="0"/>
        </w:rPr>
        <w:t xml:space="preserve"> = 1 and maximum alignments of 20</w:t>
      </w:r>
      <w:r w:rsidR="00E3011E">
        <w:rPr>
          <w:b w:val="0"/>
        </w:rPr>
        <w:t>)</w:t>
      </w:r>
      <w:r w:rsidR="0087368F" w:rsidRPr="0098263D">
        <w:rPr>
          <w:b w:val="0"/>
        </w:rPr>
        <w:t xml:space="preserve">. No alignment with allergenic proteins at or </w:t>
      </w:r>
      <w:r w:rsidR="00302801">
        <w:rPr>
          <w:b w:val="0"/>
        </w:rPr>
        <w:t>near</w:t>
      </w:r>
      <w:r w:rsidR="0087368F" w:rsidRPr="0098263D">
        <w:rPr>
          <w:b w:val="0"/>
        </w:rPr>
        <w:t xml:space="preserve"> the 35% identity threshold was found</w:t>
      </w:r>
      <w:r>
        <w:rPr>
          <w:b w:val="0"/>
        </w:rPr>
        <w:t xml:space="preserve"> with either search</w:t>
      </w:r>
      <w:r w:rsidR="0087368F" w:rsidRPr="0098263D">
        <w:rPr>
          <w:b w:val="0"/>
        </w:rPr>
        <w:t xml:space="preserve">. </w:t>
      </w:r>
    </w:p>
    <w:p w14:paraId="1DF2418E" w14:textId="05F96A53" w:rsidR="003F67C8" w:rsidRDefault="00B82B49" w:rsidP="003F67C8">
      <w:pPr>
        <w:rPr>
          <w:lang w:eastAsia="en-AU" w:bidi="ar-SA"/>
        </w:rPr>
      </w:pPr>
      <w:r>
        <w:rPr>
          <w:lang w:eastAsia="en-AU" w:bidi="ar-SA"/>
        </w:rPr>
        <w:t xml:space="preserve">FSANZ repeated the same three searches in September 2020, with the same results. The AllergenOnline database at the time of FSANZ’s searches was version 20 (February 10, 2020). </w:t>
      </w:r>
    </w:p>
    <w:p w14:paraId="4C70B0A4" w14:textId="210953FD" w:rsidR="00E3011E" w:rsidRDefault="00E3011E" w:rsidP="003F67C8">
      <w:pPr>
        <w:rPr>
          <w:lang w:eastAsia="en-AU" w:bidi="ar-SA"/>
        </w:rPr>
      </w:pPr>
    </w:p>
    <w:p w14:paraId="7DE7DA7C" w14:textId="7A3C333A" w:rsidR="00E3011E" w:rsidRDefault="00E3011E" w:rsidP="003F67C8">
      <w:pPr>
        <w:rPr>
          <w:lang w:eastAsia="en-AU" w:bidi="ar-SA"/>
        </w:rPr>
      </w:pPr>
      <w:r>
        <w:rPr>
          <w:lang w:eastAsia="en-AU" w:bidi="ar-SA"/>
        </w:rPr>
        <w:t xml:space="preserve">FSANZ notes that the complete degradation of the enzyme under conditions simulating those of the human stomach, means that the enzyme is unlikely to have allergenic potential. Furthermore there are no reports of food allergy from the maltogenic alpha-amylase extracted from the source organism, </w:t>
      </w:r>
      <w:r w:rsidRPr="00E3011E">
        <w:rPr>
          <w:i/>
          <w:lang w:eastAsia="en-AU" w:bidi="ar-SA"/>
        </w:rPr>
        <w:t>G. stearothermophilus</w:t>
      </w:r>
      <w:r>
        <w:rPr>
          <w:lang w:eastAsia="en-AU" w:bidi="ar-SA"/>
        </w:rPr>
        <w:t xml:space="preserve">. </w:t>
      </w:r>
    </w:p>
    <w:p w14:paraId="50E61499" w14:textId="0754DBC5" w:rsidR="00C15A6C" w:rsidRPr="006C1F7F" w:rsidRDefault="00C15A6C" w:rsidP="009925D0">
      <w:pPr>
        <w:pStyle w:val="Heading3"/>
      </w:pPr>
      <w:r w:rsidRPr="006C1F7F">
        <w:t>3.</w:t>
      </w:r>
      <w:r w:rsidR="002471A6">
        <w:t>3</w:t>
      </w:r>
      <w:r w:rsidRPr="006C1F7F">
        <w:t>.</w:t>
      </w:r>
      <w:r w:rsidR="006C1F7F" w:rsidRPr="006C1F7F">
        <w:t>7</w:t>
      </w:r>
      <w:r w:rsidR="0035149D" w:rsidRPr="006C1F7F">
        <w:tab/>
      </w:r>
      <w:r w:rsidRPr="006C1F7F">
        <w:t>A</w:t>
      </w:r>
      <w:r w:rsidR="00455DD4">
        <w:t>ssessment</w:t>
      </w:r>
      <w:r w:rsidRPr="006C1F7F">
        <w:t>s by other regulatory agencies</w:t>
      </w:r>
    </w:p>
    <w:p w14:paraId="08A598B8" w14:textId="7733FF08" w:rsidR="00455DD4" w:rsidRDefault="00455DD4" w:rsidP="00455DD4">
      <w:bookmarkStart w:id="43" w:name="_Toc501699836"/>
      <w:r>
        <w:t xml:space="preserve">There are no safety assessment reports, prepared by international or other national government agencies, for the </w:t>
      </w:r>
      <w:r w:rsidR="00B90758">
        <w:t xml:space="preserve">protein engineered </w:t>
      </w:r>
      <w:r>
        <w:t>maltogenic alpha</w:t>
      </w:r>
      <w:r w:rsidR="00B21359">
        <w:t>-</w:t>
      </w:r>
      <w:r>
        <w:t xml:space="preserve">amylase that is the subject of this application. </w:t>
      </w:r>
    </w:p>
    <w:p w14:paraId="28F7AF25" w14:textId="77777777" w:rsidR="00455DD4" w:rsidRDefault="00455DD4" w:rsidP="00455DD4"/>
    <w:p w14:paraId="28303D0C" w14:textId="15F496A3" w:rsidR="00552C29" w:rsidRDefault="00455DD4" w:rsidP="00455DD4">
      <w:r>
        <w:t xml:space="preserve">The US FDA responded with a “No Questions” letter to a GRAS Notification, GRN 842, in </w:t>
      </w:r>
      <w:r w:rsidR="00B037F5">
        <w:t xml:space="preserve">January </w:t>
      </w:r>
      <w:r>
        <w:t xml:space="preserve">2020. However </w:t>
      </w:r>
      <w:r w:rsidR="00D0026B">
        <w:t xml:space="preserve">this </w:t>
      </w:r>
      <w:r>
        <w:t xml:space="preserve">does not constitute a safety assessment report by a regulatory agency.  </w:t>
      </w:r>
    </w:p>
    <w:p w14:paraId="1EE3E9FC" w14:textId="1845E89B" w:rsidR="00B84361" w:rsidRPr="00D8467D" w:rsidRDefault="00B90758" w:rsidP="00B84361">
      <w:pPr>
        <w:pStyle w:val="Heading1"/>
        <w:ind w:left="567" w:hanging="567"/>
        <w:rPr>
          <w:sz w:val="28"/>
        </w:rPr>
      </w:pPr>
      <w:bookmarkStart w:id="44" w:name="_Toc59030977"/>
      <w:r>
        <w:rPr>
          <w:sz w:val="28"/>
        </w:rPr>
        <w:t>4</w:t>
      </w:r>
      <w:r w:rsidR="00B84361" w:rsidRPr="00D8467D">
        <w:rPr>
          <w:sz w:val="28"/>
        </w:rPr>
        <w:t xml:space="preserve"> </w:t>
      </w:r>
      <w:r w:rsidR="00B84361" w:rsidRPr="00D8467D">
        <w:rPr>
          <w:sz w:val="28"/>
        </w:rPr>
        <w:tab/>
        <w:t>Conclusions</w:t>
      </w:r>
      <w:bookmarkEnd w:id="44"/>
    </w:p>
    <w:p w14:paraId="1D21CAA3" w14:textId="4DDFFF0A" w:rsidR="00B84361" w:rsidRDefault="00B84361" w:rsidP="00B84361">
      <w:r>
        <w:rPr>
          <w:lang w:bidi="ar-SA"/>
        </w:rPr>
        <w:t xml:space="preserve">The safety assessment </w:t>
      </w:r>
      <w:r w:rsidR="00B90758">
        <w:rPr>
          <w:lang w:bidi="ar-SA"/>
        </w:rPr>
        <w:t xml:space="preserve">determined </w:t>
      </w:r>
      <w:r>
        <w:rPr>
          <w:lang w:bidi="ar-SA"/>
        </w:rPr>
        <w:t xml:space="preserve">the </w:t>
      </w:r>
      <w:r w:rsidR="00B90758">
        <w:rPr>
          <w:lang w:bidi="ar-SA"/>
        </w:rPr>
        <w:t xml:space="preserve">use of the </w:t>
      </w:r>
      <w:r>
        <w:rPr>
          <w:lang w:bidi="ar-SA"/>
        </w:rPr>
        <w:t xml:space="preserve">protein engineered </w:t>
      </w:r>
      <w:r w:rsidRPr="008451D2">
        <w:rPr>
          <w:lang w:bidi="ar-SA"/>
        </w:rPr>
        <w:lastRenderedPageBreak/>
        <w:t>maltogenic alpha</w:t>
      </w:r>
      <w:r>
        <w:rPr>
          <w:lang w:bidi="ar-SA"/>
        </w:rPr>
        <w:t>-</w:t>
      </w:r>
      <w:r w:rsidRPr="008451D2">
        <w:rPr>
          <w:lang w:bidi="ar-SA"/>
        </w:rPr>
        <w:t>amylase</w:t>
      </w:r>
      <w:r>
        <w:rPr>
          <w:lang w:bidi="ar-SA"/>
        </w:rPr>
        <w:t xml:space="preserve"> produced by the genetically modified </w:t>
      </w:r>
      <w:r w:rsidRPr="00531AC3">
        <w:rPr>
          <w:i/>
          <w:lang w:bidi="ar-SA"/>
        </w:rPr>
        <w:t>S. cerevisiae</w:t>
      </w:r>
      <w:r>
        <w:rPr>
          <w:lang w:bidi="ar-SA"/>
        </w:rPr>
        <w:t xml:space="preserve"> </w:t>
      </w:r>
      <w:r w:rsidR="00B90758">
        <w:t xml:space="preserve">as a food processing aid at GMP levels in </w:t>
      </w:r>
      <w:r w:rsidR="00A147EB">
        <w:t>bakery</w:t>
      </w:r>
      <w:r w:rsidR="00F87DA4">
        <w:t xml:space="preserve"> products</w:t>
      </w:r>
      <w:r w:rsidR="00A147EB">
        <w:t xml:space="preserve"> </w:t>
      </w:r>
      <w:r w:rsidR="00B90758">
        <w:t>is safe.</w:t>
      </w:r>
    </w:p>
    <w:p w14:paraId="6F2031BC" w14:textId="77777777" w:rsidR="00B90758" w:rsidRDefault="00B90758" w:rsidP="00B84361">
      <w:pPr>
        <w:rPr>
          <w:lang w:bidi="ar-SA"/>
        </w:rPr>
      </w:pPr>
    </w:p>
    <w:p w14:paraId="44F0FBD9" w14:textId="6EEC4869" w:rsidR="00B84361" w:rsidRPr="00DE377C" w:rsidRDefault="0048348F" w:rsidP="00B84361">
      <w:r w:rsidRPr="0048348F">
        <w:rPr>
          <w:lang w:bidi="ar-SA"/>
        </w:rPr>
        <w:t xml:space="preserve">The </w:t>
      </w:r>
      <w:r>
        <w:rPr>
          <w:lang w:bidi="ar-SA"/>
        </w:rPr>
        <w:t>h</w:t>
      </w:r>
      <w:r w:rsidRPr="0048348F">
        <w:rPr>
          <w:lang w:bidi="ar-SA"/>
        </w:rPr>
        <w:t xml:space="preserve">ost organism, </w:t>
      </w:r>
      <w:r w:rsidR="00B84361">
        <w:rPr>
          <w:i/>
          <w:lang w:bidi="ar-SA"/>
        </w:rPr>
        <w:t>S. cerevisiae</w:t>
      </w:r>
      <w:r w:rsidR="00B84361" w:rsidRPr="0041182E">
        <w:rPr>
          <w:lang w:bidi="ar-SA"/>
        </w:rPr>
        <w:t xml:space="preserve"> </w:t>
      </w:r>
      <w:r w:rsidR="007967C7" w:rsidRPr="007967C7">
        <w:rPr>
          <w:lang w:bidi="ar-SA"/>
        </w:rPr>
        <w:t>(baker’s yeast and brewer’s yeast)</w:t>
      </w:r>
      <w:r w:rsidR="007967C7">
        <w:rPr>
          <w:lang w:bidi="ar-SA"/>
        </w:rPr>
        <w:t xml:space="preserve"> </w:t>
      </w:r>
      <w:r w:rsidR="000A17A8">
        <w:rPr>
          <w:lang w:bidi="ar-SA"/>
        </w:rPr>
        <w:t xml:space="preserve">is considered a safe strain, with </w:t>
      </w:r>
      <w:r w:rsidR="00B84361">
        <w:rPr>
          <w:lang w:bidi="ar-SA"/>
        </w:rPr>
        <w:t>a long history of use in food</w:t>
      </w:r>
      <w:r>
        <w:rPr>
          <w:lang w:bidi="ar-SA"/>
        </w:rPr>
        <w:t xml:space="preserve"> and no evidence of </w:t>
      </w:r>
      <w:r w:rsidR="00B84361" w:rsidRPr="0041182E">
        <w:rPr>
          <w:lang w:bidi="ar-SA"/>
        </w:rPr>
        <w:t>toxi</w:t>
      </w:r>
      <w:r>
        <w:rPr>
          <w:lang w:bidi="ar-SA"/>
        </w:rPr>
        <w:t>city</w:t>
      </w:r>
      <w:r w:rsidR="00B84361" w:rsidRPr="0041182E">
        <w:rPr>
          <w:lang w:bidi="ar-SA"/>
        </w:rPr>
        <w:t xml:space="preserve"> or pathogenic</w:t>
      </w:r>
      <w:r>
        <w:rPr>
          <w:lang w:bidi="ar-SA"/>
        </w:rPr>
        <w:t>ity</w:t>
      </w:r>
      <w:r w:rsidR="00B84361" w:rsidRPr="0041182E">
        <w:rPr>
          <w:lang w:bidi="ar-SA"/>
        </w:rPr>
        <w:t xml:space="preserve">. </w:t>
      </w:r>
      <w:r>
        <w:rPr>
          <w:lang w:bidi="ar-SA"/>
        </w:rPr>
        <w:t>T</w:t>
      </w:r>
      <w:r w:rsidR="000A17A8">
        <w:rPr>
          <w:lang w:bidi="ar-SA"/>
        </w:rPr>
        <w:t xml:space="preserve">he gene donor organism, </w:t>
      </w:r>
      <w:r w:rsidR="000A17A8" w:rsidRPr="008451D2">
        <w:rPr>
          <w:i/>
          <w:lang w:bidi="ar-SA"/>
        </w:rPr>
        <w:t>G. stearothermophilus</w:t>
      </w:r>
      <w:r>
        <w:rPr>
          <w:lang w:bidi="ar-SA"/>
        </w:rPr>
        <w:t xml:space="preserve">, also </w:t>
      </w:r>
      <w:r w:rsidR="000A17A8">
        <w:rPr>
          <w:lang w:bidi="ar-SA"/>
        </w:rPr>
        <w:t xml:space="preserve">raises no public health concerns and has a history of safe use for the production of food enzymes. </w:t>
      </w:r>
      <w:r w:rsidR="00B84361" w:rsidRPr="0041182E">
        <w:rPr>
          <w:lang w:bidi="ar-SA"/>
        </w:rPr>
        <w:t xml:space="preserve">Characterisation of the </w:t>
      </w:r>
      <w:r w:rsidR="00B84361">
        <w:rPr>
          <w:lang w:bidi="ar-SA"/>
        </w:rPr>
        <w:t>GM</w:t>
      </w:r>
      <w:r w:rsidR="00B84361" w:rsidRPr="0041182E">
        <w:rPr>
          <w:lang w:bidi="ar-SA"/>
        </w:rPr>
        <w:t xml:space="preserve"> production strain</w:t>
      </w:r>
      <w:r w:rsidR="00B84361">
        <w:rPr>
          <w:lang w:bidi="ar-SA"/>
        </w:rPr>
        <w:t xml:space="preserve"> </w:t>
      </w:r>
      <w:r w:rsidR="00B84361" w:rsidRPr="0041182E">
        <w:rPr>
          <w:lang w:bidi="ar-SA"/>
        </w:rPr>
        <w:t xml:space="preserve">confirmed </w:t>
      </w:r>
      <w:r w:rsidR="00B84361">
        <w:rPr>
          <w:lang w:bidi="ar-SA"/>
        </w:rPr>
        <w:t xml:space="preserve">both </w:t>
      </w:r>
      <w:r w:rsidR="00B84361" w:rsidRPr="0041182E">
        <w:rPr>
          <w:lang w:bidi="ar-SA"/>
        </w:rPr>
        <w:t xml:space="preserve">presence and </w:t>
      </w:r>
      <w:r w:rsidR="00B84361">
        <w:rPr>
          <w:lang w:bidi="ar-SA"/>
        </w:rPr>
        <w:t xml:space="preserve">stable </w:t>
      </w:r>
      <w:r w:rsidR="00B84361" w:rsidRPr="0041182E">
        <w:rPr>
          <w:lang w:bidi="ar-SA"/>
        </w:rPr>
        <w:t xml:space="preserve">inheritance of the inserted </w:t>
      </w:r>
      <w:r w:rsidR="00B84361">
        <w:rPr>
          <w:lang w:bidi="ar-SA"/>
        </w:rPr>
        <w:t>maltogenic alpha-amylase</w:t>
      </w:r>
      <w:r w:rsidR="00B84361" w:rsidRPr="0041182E">
        <w:rPr>
          <w:lang w:bidi="ar-SA"/>
        </w:rPr>
        <w:t xml:space="preserve"> gene.</w:t>
      </w:r>
    </w:p>
    <w:p w14:paraId="3C6E5A93" w14:textId="77777777" w:rsidR="00B84361" w:rsidRDefault="00B84361" w:rsidP="00E421B0">
      <w:pPr>
        <w:rPr>
          <w:lang w:bidi="ar-SA"/>
        </w:rPr>
      </w:pPr>
    </w:p>
    <w:p w14:paraId="78C4887F" w14:textId="0E61CDE7" w:rsidR="00531AC3" w:rsidRDefault="00DE224D" w:rsidP="00E421B0">
      <w:pPr>
        <w:rPr>
          <w:lang w:bidi="ar-SA"/>
        </w:rPr>
      </w:pPr>
      <w:r>
        <w:rPr>
          <w:lang w:bidi="ar-SA"/>
        </w:rPr>
        <w:t>Although there is a lack of history of safe use of this specific enzyme, m</w:t>
      </w:r>
      <w:r w:rsidRPr="008451D2">
        <w:rPr>
          <w:lang w:bidi="ar-SA"/>
        </w:rPr>
        <w:t xml:space="preserve">altogenic </w:t>
      </w:r>
      <w:r w:rsidR="008451D2" w:rsidRPr="008451D2">
        <w:rPr>
          <w:lang w:bidi="ar-SA"/>
        </w:rPr>
        <w:t>alpha</w:t>
      </w:r>
      <w:r w:rsidR="00B21359">
        <w:rPr>
          <w:lang w:bidi="ar-SA"/>
        </w:rPr>
        <w:t>-</w:t>
      </w:r>
      <w:r w:rsidR="008451D2" w:rsidRPr="008451D2">
        <w:rPr>
          <w:lang w:bidi="ar-SA"/>
        </w:rPr>
        <w:t xml:space="preserve">amylase produced directly from </w:t>
      </w:r>
      <w:r w:rsidR="008451D2" w:rsidRPr="008451D2">
        <w:rPr>
          <w:i/>
          <w:lang w:bidi="ar-SA"/>
        </w:rPr>
        <w:t>G. stearothermophilus</w:t>
      </w:r>
      <w:r w:rsidR="00C77E95">
        <w:rPr>
          <w:lang w:bidi="ar-SA"/>
        </w:rPr>
        <w:t xml:space="preserve"> </w:t>
      </w:r>
      <w:r w:rsidR="00C77E95" w:rsidRPr="008451D2">
        <w:rPr>
          <w:lang w:bidi="ar-SA"/>
        </w:rPr>
        <w:t>ha</w:t>
      </w:r>
      <w:r w:rsidR="000E7ABE">
        <w:rPr>
          <w:lang w:bidi="ar-SA"/>
        </w:rPr>
        <w:t>s</w:t>
      </w:r>
      <w:r w:rsidR="00C77E95" w:rsidRPr="008451D2">
        <w:rPr>
          <w:lang w:bidi="ar-SA"/>
        </w:rPr>
        <w:t xml:space="preserve"> </w:t>
      </w:r>
      <w:r w:rsidR="008451D2">
        <w:rPr>
          <w:lang w:bidi="ar-SA"/>
        </w:rPr>
        <w:t>a substantial history of safe use</w:t>
      </w:r>
      <w:r w:rsidR="008451D2" w:rsidRPr="008451D2">
        <w:rPr>
          <w:lang w:bidi="ar-SA"/>
        </w:rPr>
        <w:t xml:space="preserve"> in baking</w:t>
      </w:r>
      <w:r w:rsidR="00B90758">
        <w:rPr>
          <w:lang w:bidi="ar-SA"/>
        </w:rPr>
        <w:t>.</w:t>
      </w:r>
      <w:r w:rsidR="008451D2" w:rsidRPr="008451D2">
        <w:rPr>
          <w:lang w:bidi="ar-SA"/>
        </w:rPr>
        <w:t xml:space="preserve"> </w:t>
      </w:r>
      <w:r w:rsidR="00531AC3">
        <w:rPr>
          <w:lang w:bidi="ar-SA"/>
        </w:rPr>
        <w:t xml:space="preserve">Animal and genotoxicity studies of </w:t>
      </w:r>
      <w:r w:rsidR="005E3BF3">
        <w:rPr>
          <w:lang w:bidi="ar-SA"/>
        </w:rPr>
        <w:t xml:space="preserve">maltogenic alpha-amylases </w:t>
      </w:r>
      <w:r w:rsidR="00531AC3">
        <w:rPr>
          <w:lang w:bidi="ar-SA"/>
        </w:rPr>
        <w:t xml:space="preserve">from </w:t>
      </w:r>
      <w:r w:rsidR="00531AC3" w:rsidRPr="00531AC3">
        <w:rPr>
          <w:lang w:bidi="ar-SA"/>
        </w:rPr>
        <w:t>different sources</w:t>
      </w:r>
      <w:r w:rsidR="00531AC3">
        <w:rPr>
          <w:lang w:bidi="ar-SA"/>
        </w:rPr>
        <w:t xml:space="preserve"> do not indicate reason for concern. </w:t>
      </w:r>
    </w:p>
    <w:p w14:paraId="3CE937C4" w14:textId="77777777" w:rsidR="00531AC3" w:rsidRDefault="00531AC3" w:rsidP="00E421B0">
      <w:pPr>
        <w:rPr>
          <w:lang w:bidi="ar-SA"/>
        </w:rPr>
      </w:pPr>
    </w:p>
    <w:p w14:paraId="5BB56F6A" w14:textId="00D53FFC" w:rsidR="008451D2" w:rsidRDefault="008451D2" w:rsidP="00E421B0">
      <w:pPr>
        <w:rPr>
          <w:lang w:bidi="ar-SA"/>
        </w:rPr>
      </w:pPr>
      <w:r>
        <w:rPr>
          <w:lang w:bidi="ar-SA"/>
        </w:rPr>
        <w:t xml:space="preserve">No similarity was found </w:t>
      </w:r>
      <w:r w:rsidRPr="008451D2">
        <w:rPr>
          <w:lang w:bidi="ar-SA"/>
        </w:rPr>
        <w:t xml:space="preserve">to any known toxin in the </w:t>
      </w:r>
      <w:r>
        <w:rPr>
          <w:lang w:bidi="ar-SA"/>
        </w:rPr>
        <w:t xml:space="preserve">UniProtKB </w:t>
      </w:r>
      <w:r w:rsidRPr="008451D2">
        <w:rPr>
          <w:lang w:bidi="ar-SA"/>
        </w:rPr>
        <w:t>database</w:t>
      </w:r>
      <w:r>
        <w:rPr>
          <w:lang w:bidi="ar-SA"/>
        </w:rPr>
        <w:t xml:space="preserve">. No sequence homology to known food allergens was identified. </w:t>
      </w:r>
      <w:r w:rsidR="00703F32">
        <w:t xml:space="preserve">A </w:t>
      </w:r>
      <w:r w:rsidR="00703F32" w:rsidRPr="00542892">
        <w:t xml:space="preserve">degree of homology between the </w:t>
      </w:r>
      <w:r w:rsidR="00703F32">
        <w:t>protein engineered maltogenic</w:t>
      </w:r>
      <w:r w:rsidR="00703F32" w:rsidRPr="00542892">
        <w:t xml:space="preserve"> </w:t>
      </w:r>
      <w:r w:rsidR="00703F32">
        <w:t>alpha-</w:t>
      </w:r>
      <w:r w:rsidR="00703F32" w:rsidRPr="00542892">
        <w:t xml:space="preserve">amylase </w:t>
      </w:r>
      <w:r w:rsidR="00703F32">
        <w:t>and</w:t>
      </w:r>
      <w:r w:rsidR="00703F32" w:rsidRPr="00542892">
        <w:t xml:space="preserve"> </w:t>
      </w:r>
      <w:r w:rsidR="00703F32">
        <w:t>several</w:t>
      </w:r>
      <w:r w:rsidR="00703F32" w:rsidRPr="00542892">
        <w:t xml:space="preserve"> respiratory allergen</w:t>
      </w:r>
      <w:r w:rsidR="00703F32">
        <w:t xml:space="preserve">s was found. </w:t>
      </w:r>
      <w:r w:rsidR="00E521C3">
        <w:t>R</w:t>
      </w:r>
      <w:r w:rsidR="00703F32">
        <w:t>espiratory allergens are generally not food allergens</w:t>
      </w:r>
      <w:r w:rsidR="00CF7479">
        <w:t xml:space="preserve"> </w:t>
      </w:r>
      <w:r w:rsidR="00CF7479" w:rsidRPr="00CF7479">
        <w:t>(Dauvrin et al. 1998, Bindslev-Jensen et al. 2006)</w:t>
      </w:r>
      <w:r w:rsidR="00703F32">
        <w:t xml:space="preserve">, and since the enzyme is completely degraded under the conditions of the human stomach, the risk of food allergy </w:t>
      </w:r>
      <w:r w:rsidR="00703F32">
        <w:rPr>
          <w:lang w:bidi="ar-SA"/>
        </w:rPr>
        <w:t xml:space="preserve">from the proposed uses of the enzyme is considered to be negligible. </w:t>
      </w:r>
      <w:r w:rsidR="00E3011E">
        <w:rPr>
          <w:lang w:bidi="ar-SA"/>
        </w:rPr>
        <w:t xml:space="preserve"> </w:t>
      </w:r>
    </w:p>
    <w:p w14:paraId="38D74137" w14:textId="2186781E" w:rsidR="008451D2" w:rsidRPr="00E421B0" w:rsidRDefault="008451D2" w:rsidP="00E421B0">
      <w:pPr>
        <w:rPr>
          <w:lang w:bidi="ar-SA"/>
        </w:rPr>
      </w:pPr>
      <w:r w:rsidRPr="008451D2">
        <w:rPr>
          <w:lang w:bidi="ar-SA"/>
        </w:rPr>
        <w:t xml:space="preserve"> </w:t>
      </w:r>
      <w:r>
        <w:rPr>
          <w:lang w:bidi="ar-SA"/>
        </w:rPr>
        <w:t xml:space="preserve"> </w:t>
      </w:r>
    </w:p>
    <w:p w14:paraId="2C4D2243" w14:textId="2C11E7DE" w:rsidR="00AF0509" w:rsidRDefault="00EF32AE" w:rsidP="00AD57EE">
      <w:r w:rsidRPr="00B21359">
        <w:t>Based on the reviewed data it is concluded that in the absence of any identifiable hazard an Acceptable Daily Intake (ADI) ‘not specified’ is appropriate. A dietary exposure assessment was therefore not required.</w:t>
      </w:r>
    </w:p>
    <w:p w14:paraId="45F8F4BB" w14:textId="77777777" w:rsidR="00C77E95" w:rsidRPr="00B21359" w:rsidRDefault="00C77E95" w:rsidP="00AD57EE">
      <w:pPr>
        <w:rPr>
          <w:u w:val="single"/>
        </w:rPr>
      </w:pPr>
    </w:p>
    <w:p w14:paraId="4B5CA93B" w14:textId="77777777" w:rsidR="00E521C3" w:rsidRDefault="00E521C3">
      <w:pPr>
        <w:widowControl/>
        <w:rPr>
          <w:b/>
          <w:bCs/>
          <w:sz w:val="28"/>
          <w:szCs w:val="28"/>
          <w:lang w:bidi="ar-SA"/>
        </w:rPr>
      </w:pPr>
      <w:bookmarkStart w:id="45" w:name="_Toc59030978"/>
      <w:r>
        <w:rPr>
          <w:sz w:val="28"/>
        </w:rPr>
        <w:br w:type="page"/>
      </w:r>
    </w:p>
    <w:p w14:paraId="26281CEA" w14:textId="2C5B7322" w:rsidR="00AF0509" w:rsidRDefault="00C77E95" w:rsidP="00BD59CB">
      <w:pPr>
        <w:pStyle w:val="Heading1"/>
        <w:ind w:left="567" w:hanging="567"/>
        <w:rPr>
          <w:sz w:val="28"/>
        </w:rPr>
      </w:pPr>
      <w:r>
        <w:rPr>
          <w:sz w:val="28"/>
        </w:rPr>
        <w:lastRenderedPageBreak/>
        <w:t>5</w:t>
      </w:r>
      <w:r w:rsidR="00AF0509" w:rsidRPr="00D8467D">
        <w:rPr>
          <w:sz w:val="28"/>
        </w:rPr>
        <w:t xml:space="preserve"> </w:t>
      </w:r>
      <w:r w:rsidR="00BD59CB" w:rsidRPr="00D8467D">
        <w:rPr>
          <w:sz w:val="28"/>
        </w:rPr>
        <w:tab/>
      </w:r>
      <w:r w:rsidR="00AF0509" w:rsidRPr="00D8467D">
        <w:rPr>
          <w:sz w:val="28"/>
        </w:rPr>
        <w:t>References</w:t>
      </w:r>
      <w:bookmarkEnd w:id="43"/>
      <w:bookmarkEnd w:id="45"/>
    </w:p>
    <w:p w14:paraId="07B57A19" w14:textId="04AB445A" w:rsidR="00DC6E79" w:rsidRDefault="00DC6E79" w:rsidP="00DC6E79">
      <w:pPr>
        <w:pStyle w:val="Heading1"/>
        <w:spacing w:before="0" w:after="0"/>
        <w:ind w:left="0" w:firstLine="0"/>
        <w:rPr>
          <w:b w:val="0"/>
          <w:bCs w:val="0"/>
          <w:sz w:val="20"/>
          <w:szCs w:val="20"/>
          <w:lang w:bidi="en-US"/>
        </w:rPr>
      </w:pPr>
      <w:r w:rsidRPr="00DC6E79">
        <w:rPr>
          <w:b w:val="0"/>
          <w:bCs w:val="0"/>
          <w:sz w:val="20"/>
          <w:szCs w:val="20"/>
          <w:lang w:bidi="en-US"/>
        </w:rPr>
        <w:t>André</w:t>
      </w:r>
      <w:r>
        <w:rPr>
          <w:b w:val="0"/>
          <w:bCs w:val="0"/>
          <w:sz w:val="20"/>
          <w:szCs w:val="20"/>
          <w:lang w:bidi="en-US"/>
        </w:rPr>
        <w:t xml:space="preserve"> S</w:t>
      </w:r>
      <w:r w:rsidRPr="00DC6E79">
        <w:rPr>
          <w:b w:val="0"/>
          <w:bCs w:val="0"/>
          <w:sz w:val="20"/>
          <w:szCs w:val="20"/>
          <w:lang w:bidi="en-US"/>
        </w:rPr>
        <w:t>, Vallaeys</w:t>
      </w:r>
      <w:r>
        <w:rPr>
          <w:b w:val="0"/>
          <w:bCs w:val="0"/>
          <w:sz w:val="20"/>
          <w:szCs w:val="20"/>
          <w:lang w:bidi="en-US"/>
        </w:rPr>
        <w:t xml:space="preserve"> T</w:t>
      </w:r>
      <w:r w:rsidRPr="00DC6E79">
        <w:rPr>
          <w:b w:val="0"/>
          <w:bCs w:val="0"/>
          <w:sz w:val="20"/>
          <w:szCs w:val="20"/>
          <w:lang w:bidi="en-US"/>
        </w:rPr>
        <w:t>, Planchon</w:t>
      </w:r>
      <w:r>
        <w:rPr>
          <w:b w:val="0"/>
          <w:bCs w:val="0"/>
          <w:sz w:val="20"/>
          <w:szCs w:val="20"/>
          <w:lang w:bidi="en-US"/>
        </w:rPr>
        <w:t xml:space="preserve"> S (2017) S</w:t>
      </w:r>
      <w:r w:rsidRPr="00DC6E79">
        <w:rPr>
          <w:b w:val="0"/>
          <w:bCs w:val="0"/>
          <w:sz w:val="20"/>
          <w:szCs w:val="20"/>
          <w:lang w:bidi="en-US"/>
        </w:rPr>
        <w:t>pore-forming bacteria responsible for food spoilage</w:t>
      </w:r>
      <w:r>
        <w:rPr>
          <w:b w:val="0"/>
          <w:bCs w:val="0"/>
          <w:sz w:val="20"/>
          <w:szCs w:val="20"/>
          <w:lang w:bidi="en-US"/>
        </w:rPr>
        <w:t xml:space="preserve">. Res Microbiol </w:t>
      </w:r>
      <w:r w:rsidRPr="00DC6E79">
        <w:rPr>
          <w:b w:val="0"/>
          <w:bCs w:val="0"/>
          <w:sz w:val="20"/>
          <w:szCs w:val="20"/>
          <w:lang w:bidi="en-US"/>
        </w:rPr>
        <w:t>168</w:t>
      </w:r>
      <w:r>
        <w:rPr>
          <w:b w:val="0"/>
          <w:bCs w:val="0"/>
          <w:sz w:val="20"/>
          <w:szCs w:val="20"/>
          <w:lang w:bidi="en-US"/>
        </w:rPr>
        <w:t>(</w:t>
      </w:r>
      <w:r w:rsidRPr="00DC6E79">
        <w:rPr>
          <w:b w:val="0"/>
          <w:bCs w:val="0"/>
          <w:sz w:val="20"/>
          <w:szCs w:val="20"/>
          <w:lang w:bidi="en-US"/>
        </w:rPr>
        <w:t>4</w:t>
      </w:r>
      <w:r>
        <w:rPr>
          <w:b w:val="0"/>
          <w:bCs w:val="0"/>
          <w:sz w:val="20"/>
          <w:szCs w:val="20"/>
          <w:lang w:bidi="en-US"/>
        </w:rPr>
        <w:t>):379-387</w:t>
      </w:r>
    </w:p>
    <w:p w14:paraId="391357FF" w14:textId="77777777" w:rsidR="00DC6E79" w:rsidRPr="00DC6E79" w:rsidRDefault="00DC6E79" w:rsidP="00DC6E79"/>
    <w:p w14:paraId="62016A12" w14:textId="25431E26" w:rsidR="00CF7479" w:rsidRDefault="00CF7479" w:rsidP="00CF7479">
      <w:pPr>
        <w:rPr>
          <w:sz w:val="20"/>
          <w:szCs w:val="20"/>
        </w:rPr>
      </w:pPr>
      <w:r w:rsidRPr="00CF7479">
        <w:rPr>
          <w:sz w:val="20"/>
          <w:szCs w:val="20"/>
        </w:rPr>
        <w:t xml:space="preserve">Bindslev-Jensen C, Skov PS, Roggen EL, Hvass P, Brinch DS (2006) Investigation on possible allergenicity of 19 different commercial enzymes used in the food industry. </w:t>
      </w:r>
      <w:r w:rsidR="00E07327">
        <w:rPr>
          <w:sz w:val="20"/>
          <w:szCs w:val="20"/>
        </w:rPr>
        <w:t>Food Chem Toxicol</w:t>
      </w:r>
      <w:r w:rsidR="00E07327" w:rsidRPr="00E07327">
        <w:rPr>
          <w:sz w:val="20"/>
          <w:szCs w:val="20"/>
        </w:rPr>
        <w:t xml:space="preserve"> </w:t>
      </w:r>
      <w:r w:rsidRPr="00CF7479">
        <w:rPr>
          <w:sz w:val="20"/>
          <w:szCs w:val="20"/>
        </w:rPr>
        <w:t>44:1909-1915</w:t>
      </w:r>
    </w:p>
    <w:p w14:paraId="55580E59" w14:textId="77777777" w:rsidR="00CF7479" w:rsidRDefault="00CF7479" w:rsidP="00CF7479">
      <w:pPr>
        <w:rPr>
          <w:sz w:val="20"/>
          <w:szCs w:val="20"/>
        </w:rPr>
      </w:pPr>
    </w:p>
    <w:p w14:paraId="10624AA2" w14:textId="1E664B00" w:rsidR="00CF7479" w:rsidRPr="000B4825" w:rsidRDefault="00CF7479" w:rsidP="00CF7479">
      <w:pPr>
        <w:rPr>
          <w:sz w:val="20"/>
          <w:szCs w:val="20"/>
        </w:rPr>
      </w:pPr>
      <w:r w:rsidRPr="006B1E71">
        <w:rPr>
          <w:sz w:val="20"/>
          <w:szCs w:val="20"/>
        </w:rPr>
        <w:t>Dauvrin T, Groot G, Maurer K-H, de Rijke D, Ryssov-Nielsen H, Simonse M, Sorensen TB (1998) Working group on consumer allergy risk from enzyme residues in food. An AMFEP expert group evaluation study</w:t>
      </w:r>
      <w:r>
        <w:rPr>
          <w:sz w:val="20"/>
          <w:szCs w:val="20"/>
        </w:rPr>
        <w:t xml:space="preserve">. </w:t>
      </w:r>
    </w:p>
    <w:p w14:paraId="4AED221A" w14:textId="77777777" w:rsidR="00CF7479" w:rsidRDefault="00CF7479" w:rsidP="00F50728">
      <w:pPr>
        <w:rPr>
          <w:sz w:val="20"/>
          <w:szCs w:val="20"/>
        </w:rPr>
      </w:pPr>
    </w:p>
    <w:p w14:paraId="0FE4FA11" w14:textId="6DE74760" w:rsidR="005F221D" w:rsidRPr="00556B80" w:rsidRDefault="005F221D" w:rsidP="00F50728">
      <w:pPr>
        <w:rPr>
          <w:sz w:val="20"/>
          <w:szCs w:val="20"/>
        </w:rPr>
      </w:pPr>
      <w:r w:rsidRPr="00556B80">
        <w:rPr>
          <w:sz w:val="20"/>
          <w:szCs w:val="20"/>
        </w:rPr>
        <w:t>Derde LJ, Gomand SV, Courtin CM</w:t>
      </w:r>
      <w:r w:rsidR="00A57299">
        <w:rPr>
          <w:sz w:val="20"/>
          <w:szCs w:val="20"/>
        </w:rPr>
        <w:t>,</w:t>
      </w:r>
      <w:r w:rsidRPr="00556B80">
        <w:rPr>
          <w:sz w:val="20"/>
          <w:szCs w:val="20"/>
        </w:rPr>
        <w:t xml:space="preserve"> Delcour JA (</w:t>
      </w:r>
      <w:r w:rsidR="00556B80" w:rsidRPr="00556B80">
        <w:rPr>
          <w:sz w:val="20"/>
          <w:szCs w:val="20"/>
        </w:rPr>
        <w:t>2012)</w:t>
      </w:r>
      <w:r w:rsidR="00556B80">
        <w:rPr>
          <w:sz w:val="20"/>
          <w:szCs w:val="20"/>
        </w:rPr>
        <w:t xml:space="preserve">. Characterisation of three starch degrading enzymes: Thermostable </w:t>
      </w:r>
      <w:r w:rsidR="00556B80">
        <w:rPr>
          <w:rFonts w:cs="Arial"/>
          <w:sz w:val="20"/>
          <w:szCs w:val="20"/>
        </w:rPr>
        <w:t>β</w:t>
      </w:r>
      <w:r w:rsidR="00556B80">
        <w:rPr>
          <w:sz w:val="20"/>
          <w:szCs w:val="20"/>
        </w:rPr>
        <w:t xml:space="preserve">-amylase, maltotetraogenic </w:t>
      </w:r>
      <w:r w:rsidR="0075130A">
        <w:rPr>
          <w:sz w:val="20"/>
          <w:szCs w:val="20"/>
        </w:rPr>
        <w:t xml:space="preserve">and maltogenic </w:t>
      </w:r>
      <w:r w:rsidR="0075130A">
        <w:rPr>
          <w:rFonts w:cs="Arial"/>
          <w:sz w:val="20"/>
          <w:szCs w:val="20"/>
        </w:rPr>
        <w:t>α</w:t>
      </w:r>
      <w:r w:rsidR="0075130A">
        <w:rPr>
          <w:sz w:val="20"/>
          <w:szCs w:val="20"/>
        </w:rPr>
        <w:t>-amylas</w:t>
      </w:r>
      <w:r w:rsidR="00E07327">
        <w:rPr>
          <w:sz w:val="20"/>
          <w:szCs w:val="20"/>
        </w:rPr>
        <w:t>es. Food Chem 135:713-721</w:t>
      </w:r>
    </w:p>
    <w:p w14:paraId="3FA4D812" w14:textId="52EFF484" w:rsidR="009A148B" w:rsidRDefault="009A148B" w:rsidP="00F50728">
      <w:pPr>
        <w:rPr>
          <w:strike/>
          <w:sz w:val="20"/>
          <w:szCs w:val="20"/>
        </w:rPr>
      </w:pPr>
    </w:p>
    <w:p w14:paraId="6A8EE8F0" w14:textId="30A7E3F8" w:rsidR="00B46AA7" w:rsidRDefault="009A148B" w:rsidP="00B46AA7">
      <w:pPr>
        <w:rPr>
          <w:sz w:val="20"/>
          <w:szCs w:val="20"/>
        </w:rPr>
      </w:pPr>
      <w:r w:rsidRPr="009A148B">
        <w:rPr>
          <w:sz w:val="20"/>
          <w:szCs w:val="20"/>
        </w:rPr>
        <w:t>EFSA CE</w:t>
      </w:r>
      <w:r>
        <w:rPr>
          <w:sz w:val="20"/>
          <w:szCs w:val="20"/>
        </w:rPr>
        <w:t>F</w:t>
      </w:r>
      <w:r w:rsidRPr="009A148B">
        <w:rPr>
          <w:sz w:val="20"/>
          <w:szCs w:val="20"/>
        </w:rPr>
        <w:t xml:space="preserve"> Panel (</w:t>
      </w:r>
      <w:r>
        <w:rPr>
          <w:sz w:val="20"/>
          <w:szCs w:val="20"/>
        </w:rPr>
        <w:t>2018a)</w:t>
      </w:r>
      <w:r w:rsidR="00B46AA7">
        <w:rPr>
          <w:sz w:val="20"/>
          <w:szCs w:val="20"/>
        </w:rPr>
        <w:t xml:space="preserve"> </w:t>
      </w:r>
      <w:r w:rsidR="00B46AA7" w:rsidRPr="00B46AA7">
        <w:rPr>
          <w:sz w:val="20"/>
          <w:szCs w:val="20"/>
        </w:rPr>
        <w:t>Safety evaluation of the food enzyme maltogenic amylase</w:t>
      </w:r>
      <w:r w:rsidR="00B46AA7">
        <w:rPr>
          <w:sz w:val="20"/>
          <w:szCs w:val="20"/>
        </w:rPr>
        <w:t xml:space="preserve"> </w:t>
      </w:r>
      <w:r w:rsidR="00B46AA7" w:rsidRPr="00B46AA7">
        <w:rPr>
          <w:sz w:val="20"/>
          <w:szCs w:val="20"/>
        </w:rPr>
        <w:t xml:space="preserve">from a genetically modified </w:t>
      </w:r>
      <w:r w:rsidR="00B46AA7" w:rsidRPr="00B46AA7">
        <w:rPr>
          <w:i/>
          <w:sz w:val="20"/>
          <w:szCs w:val="20"/>
        </w:rPr>
        <w:t>Bacillus subtilis</w:t>
      </w:r>
      <w:r w:rsidR="00B46AA7">
        <w:rPr>
          <w:sz w:val="20"/>
          <w:szCs w:val="20"/>
        </w:rPr>
        <w:t xml:space="preserve"> </w:t>
      </w:r>
      <w:r w:rsidR="00B46AA7" w:rsidRPr="00B46AA7">
        <w:rPr>
          <w:sz w:val="20"/>
          <w:szCs w:val="20"/>
        </w:rPr>
        <w:t>(strain NZYM-SM)</w:t>
      </w:r>
      <w:r w:rsidR="00B46AA7">
        <w:rPr>
          <w:sz w:val="20"/>
          <w:szCs w:val="20"/>
        </w:rPr>
        <w:t>.</w:t>
      </w:r>
      <w:r w:rsidR="00B46AA7" w:rsidRPr="00B46AA7">
        <w:t xml:space="preserve"> </w:t>
      </w:r>
      <w:r w:rsidR="00B46AA7" w:rsidRPr="00B46AA7">
        <w:rPr>
          <w:sz w:val="20"/>
          <w:szCs w:val="20"/>
        </w:rPr>
        <w:t>EFSA J</w:t>
      </w:r>
      <w:r w:rsidR="00E07327">
        <w:rPr>
          <w:sz w:val="20"/>
          <w:szCs w:val="20"/>
        </w:rPr>
        <w:t xml:space="preserve"> </w:t>
      </w:r>
      <w:r w:rsidR="00B46AA7" w:rsidRPr="00B46AA7">
        <w:rPr>
          <w:sz w:val="20"/>
          <w:szCs w:val="20"/>
        </w:rPr>
        <w:t>16(5):</w:t>
      </w:r>
      <w:r w:rsidR="00A57299">
        <w:rPr>
          <w:sz w:val="20"/>
          <w:szCs w:val="20"/>
        </w:rPr>
        <w:t>e0</w:t>
      </w:r>
      <w:r w:rsidR="00B46AA7" w:rsidRPr="00B46AA7">
        <w:rPr>
          <w:sz w:val="20"/>
          <w:szCs w:val="20"/>
        </w:rPr>
        <w:t>5171</w:t>
      </w:r>
      <w:r w:rsidR="00B46AA7">
        <w:rPr>
          <w:sz w:val="20"/>
          <w:szCs w:val="20"/>
        </w:rPr>
        <w:t xml:space="preserve"> </w:t>
      </w:r>
    </w:p>
    <w:p w14:paraId="489D83B8" w14:textId="77777777" w:rsidR="00A57299" w:rsidRPr="00A57299" w:rsidRDefault="0071508C" w:rsidP="00A57299">
      <w:pPr>
        <w:widowControl/>
        <w:rPr>
          <w:rFonts w:cs="Arial"/>
          <w:color w:val="767676"/>
          <w:sz w:val="20"/>
          <w:szCs w:val="21"/>
          <w:lang w:val="en" w:eastAsia="en-GB" w:bidi="ar-SA"/>
        </w:rPr>
      </w:pPr>
      <w:hyperlink r:id="rId18" w:history="1">
        <w:r w:rsidR="00A57299" w:rsidRPr="00A57299">
          <w:rPr>
            <w:rFonts w:cs="Arial"/>
            <w:bCs/>
            <w:color w:val="005274"/>
            <w:sz w:val="20"/>
            <w:szCs w:val="21"/>
            <w:u w:val="single"/>
            <w:lang w:val="en" w:eastAsia="en-GB" w:bidi="ar-SA"/>
          </w:rPr>
          <w:t>https://doi.org/10.2903/j.efsa.2018.5171</w:t>
        </w:r>
      </w:hyperlink>
    </w:p>
    <w:p w14:paraId="2068CF4F" w14:textId="38686242" w:rsidR="009A148B" w:rsidRDefault="009A148B" w:rsidP="00F50728">
      <w:pPr>
        <w:rPr>
          <w:sz w:val="20"/>
          <w:szCs w:val="20"/>
        </w:rPr>
      </w:pPr>
    </w:p>
    <w:p w14:paraId="4DDB74B8" w14:textId="4C34F71F" w:rsidR="00B46AA7" w:rsidRDefault="009A148B" w:rsidP="00B46AA7">
      <w:pPr>
        <w:rPr>
          <w:sz w:val="20"/>
          <w:szCs w:val="20"/>
        </w:rPr>
      </w:pPr>
      <w:r>
        <w:rPr>
          <w:sz w:val="20"/>
          <w:szCs w:val="20"/>
        </w:rPr>
        <w:t>EFSA CEF Panel (2018b)</w:t>
      </w:r>
      <w:r w:rsidR="00B46AA7">
        <w:rPr>
          <w:sz w:val="20"/>
          <w:szCs w:val="20"/>
        </w:rPr>
        <w:t xml:space="preserve"> </w:t>
      </w:r>
      <w:r w:rsidR="00B46AA7" w:rsidRPr="00B46AA7">
        <w:rPr>
          <w:sz w:val="20"/>
          <w:szCs w:val="20"/>
        </w:rPr>
        <w:t>Safety evaluation of food enzyme glucan1,4-a-maltohydrolase produced with a genetically</w:t>
      </w:r>
      <w:r w:rsidR="00B46AA7">
        <w:rPr>
          <w:sz w:val="20"/>
          <w:szCs w:val="20"/>
        </w:rPr>
        <w:t xml:space="preserve"> </w:t>
      </w:r>
      <w:r w:rsidR="00B46AA7" w:rsidRPr="00B46AA7">
        <w:rPr>
          <w:sz w:val="20"/>
          <w:szCs w:val="20"/>
        </w:rPr>
        <w:t xml:space="preserve">modified </w:t>
      </w:r>
      <w:r w:rsidR="00B46AA7" w:rsidRPr="00B46AA7">
        <w:rPr>
          <w:i/>
          <w:sz w:val="20"/>
          <w:szCs w:val="20"/>
        </w:rPr>
        <w:t>Bacillus subtilis</w:t>
      </w:r>
      <w:r w:rsidR="00B46AA7" w:rsidRPr="00B46AA7">
        <w:rPr>
          <w:sz w:val="20"/>
          <w:szCs w:val="20"/>
        </w:rPr>
        <w:t xml:space="preserve"> (strain MAM)</w:t>
      </w:r>
      <w:r w:rsidR="00B46AA7">
        <w:rPr>
          <w:sz w:val="20"/>
          <w:szCs w:val="20"/>
        </w:rPr>
        <w:t xml:space="preserve">. </w:t>
      </w:r>
      <w:r w:rsidR="00B46AA7" w:rsidRPr="00B46AA7">
        <w:rPr>
          <w:sz w:val="20"/>
          <w:szCs w:val="20"/>
        </w:rPr>
        <w:t>EFSA J</w:t>
      </w:r>
      <w:r w:rsidR="00DC6E79">
        <w:rPr>
          <w:sz w:val="20"/>
          <w:szCs w:val="20"/>
        </w:rPr>
        <w:t xml:space="preserve"> </w:t>
      </w:r>
      <w:r w:rsidR="00B46AA7" w:rsidRPr="00B46AA7">
        <w:rPr>
          <w:sz w:val="20"/>
          <w:szCs w:val="20"/>
        </w:rPr>
        <w:t>16(5):</w:t>
      </w:r>
      <w:r w:rsidR="0060683F">
        <w:rPr>
          <w:sz w:val="20"/>
          <w:szCs w:val="20"/>
        </w:rPr>
        <w:t>e0</w:t>
      </w:r>
      <w:r w:rsidR="00B46AA7" w:rsidRPr="00B46AA7">
        <w:rPr>
          <w:sz w:val="20"/>
          <w:szCs w:val="20"/>
        </w:rPr>
        <w:t>5168</w:t>
      </w:r>
      <w:r w:rsidR="00B46AA7">
        <w:rPr>
          <w:sz w:val="20"/>
          <w:szCs w:val="20"/>
        </w:rPr>
        <w:t xml:space="preserve"> </w:t>
      </w:r>
      <w:hyperlink r:id="rId19" w:history="1">
        <w:r w:rsidR="001362BC" w:rsidRPr="002F4160">
          <w:rPr>
            <w:rStyle w:val="Hyperlink"/>
            <w:sz w:val="20"/>
            <w:szCs w:val="20"/>
          </w:rPr>
          <w:t>https://efsa.onlinelibrary.wiley.com/doi/epdf/10.2903/j.efsa.2018.5168</w:t>
        </w:r>
      </w:hyperlink>
      <w:r w:rsidR="001362BC">
        <w:rPr>
          <w:sz w:val="20"/>
          <w:szCs w:val="20"/>
        </w:rPr>
        <w:t xml:space="preserve"> </w:t>
      </w:r>
    </w:p>
    <w:p w14:paraId="3C5E6071" w14:textId="04762989" w:rsidR="00F35060" w:rsidRDefault="00F35060" w:rsidP="00F50728">
      <w:pPr>
        <w:rPr>
          <w:sz w:val="20"/>
          <w:szCs w:val="20"/>
        </w:rPr>
      </w:pPr>
    </w:p>
    <w:p w14:paraId="1B9B6908" w14:textId="3167B76A" w:rsidR="00121D9F" w:rsidRDefault="00121D9F" w:rsidP="00121D9F">
      <w:pPr>
        <w:rPr>
          <w:sz w:val="20"/>
          <w:szCs w:val="20"/>
        </w:rPr>
      </w:pPr>
      <w:r w:rsidRPr="00121D9F">
        <w:rPr>
          <w:sz w:val="20"/>
          <w:szCs w:val="20"/>
        </w:rPr>
        <w:t xml:space="preserve">EFSA CEP Panel. </w:t>
      </w:r>
      <w:r>
        <w:rPr>
          <w:sz w:val="20"/>
          <w:szCs w:val="20"/>
        </w:rPr>
        <w:t xml:space="preserve">(2018a) </w:t>
      </w:r>
      <w:r w:rsidRPr="00121D9F">
        <w:rPr>
          <w:sz w:val="20"/>
          <w:szCs w:val="20"/>
        </w:rPr>
        <w:t>Scientific Opinion on the safety evaluation of the food enzyme maltogenic amylase from a</w:t>
      </w:r>
      <w:r>
        <w:rPr>
          <w:sz w:val="20"/>
          <w:szCs w:val="20"/>
        </w:rPr>
        <w:t xml:space="preserve"> </w:t>
      </w:r>
      <w:r w:rsidRPr="00121D9F">
        <w:rPr>
          <w:sz w:val="20"/>
          <w:szCs w:val="20"/>
        </w:rPr>
        <w:t xml:space="preserve">genetically modified </w:t>
      </w:r>
      <w:r w:rsidRPr="00121D9F">
        <w:rPr>
          <w:i/>
          <w:sz w:val="20"/>
          <w:szCs w:val="20"/>
        </w:rPr>
        <w:t>Bacillus subtilis</w:t>
      </w:r>
      <w:r w:rsidRPr="00121D9F">
        <w:rPr>
          <w:sz w:val="20"/>
          <w:szCs w:val="20"/>
        </w:rPr>
        <w:t xml:space="preserve"> (strain</w:t>
      </w:r>
      <w:r>
        <w:rPr>
          <w:sz w:val="20"/>
          <w:szCs w:val="20"/>
        </w:rPr>
        <w:t xml:space="preserve"> NZYM-OC). EFSA J</w:t>
      </w:r>
      <w:r w:rsidRPr="00121D9F">
        <w:rPr>
          <w:sz w:val="20"/>
          <w:szCs w:val="20"/>
        </w:rPr>
        <w:t xml:space="preserve"> 16(11):</w:t>
      </w:r>
      <w:r w:rsidR="0060683F">
        <w:rPr>
          <w:sz w:val="20"/>
          <w:szCs w:val="20"/>
        </w:rPr>
        <w:t>e0</w:t>
      </w:r>
      <w:r w:rsidRPr="00121D9F">
        <w:rPr>
          <w:sz w:val="20"/>
          <w:szCs w:val="20"/>
        </w:rPr>
        <w:t>5477</w:t>
      </w:r>
      <w:r>
        <w:rPr>
          <w:sz w:val="20"/>
          <w:szCs w:val="20"/>
        </w:rPr>
        <w:t>.</w:t>
      </w:r>
      <w:r w:rsidRPr="00121D9F">
        <w:t xml:space="preserve"> </w:t>
      </w:r>
      <w:hyperlink r:id="rId20" w:history="1">
        <w:r w:rsidRPr="00E05972">
          <w:rPr>
            <w:rStyle w:val="Hyperlink"/>
            <w:sz w:val="20"/>
            <w:szCs w:val="20"/>
          </w:rPr>
          <w:t>https://doi.org/10.2903/j.efsa.2018.5477</w:t>
        </w:r>
      </w:hyperlink>
      <w:r>
        <w:rPr>
          <w:sz w:val="20"/>
          <w:szCs w:val="20"/>
        </w:rPr>
        <w:t xml:space="preserve"> </w:t>
      </w:r>
    </w:p>
    <w:p w14:paraId="66A9BD13" w14:textId="457E6F22" w:rsidR="00121D9F" w:rsidRDefault="00121D9F" w:rsidP="00BF6956">
      <w:pPr>
        <w:rPr>
          <w:sz w:val="20"/>
          <w:szCs w:val="20"/>
        </w:rPr>
      </w:pPr>
    </w:p>
    <w:p w14:paraId="6507752D" w14:textId="36DC7609" w:rsidR="00121D9F" w:rsidRPr="00121D9F" w:rsidRDefault="00121D9F" w:rsidP="00121D9F">
      <w:pPr>
        <w:rPr>
          <w:sz w:val="20"/>
          <w:szCs w:val="20"/>
        </w:rPr>
      </w:pPr>
      <w:r w:rsidRPr="00121D9F">
        <w:rPr>
          <w:sz w:val="20"/>
          <w:szCs w:val="20"/>
        </w:rPr>
        <w:t xml:space="preserve">EFSA CEP Panel. </w:t>
      </w:r>
      <w:r>
        <w:rPr>
          <w:sz w:val="20"/>
          <w:szCs w:val="20"/>
        </w:rPr>
        <w:t xml:space="preserve">(2018b) </w:t>
      </w:r>
      <w:r w:rsidRPr="00121D9F">
        <w:rPr>
          <w:sz w:val="20"/>
          <w:szCs w:val="20"/>
        </w:rPr>
        <w:t>Scientific Opinion on the safety evaluation of the food enzyme maltogenic amylase from a</w:t>
      </w:r>
      <w:r>
        <w:rPr>
          <w:sz w:val="20"/>
          <w:szCs w:val="20"/>
        </w:rPr>
        <w:t xml:space="preserve"> </w:t>
      </w:r>
      <w:r w:rsidRPr="00121D9F">
        <w:rPr>
          <w:sz w:val="20"/>
          <w:szCs w:val="20"/>
        </w:rPr>
        <w:t xml:space="preserve">genetically modified </w:t>
      </w:r>
      <w:r w:rsidRPr="00121D9F">
        <w:rPr>
          <w:i/>
          <w:sz w:val="20"/>
          <w:szCs w:val="20"/>
        </w:rPr>
        <w:t>Bacillus subtilis</w:t>
      </w:r>
      <w:r w:rsidRPr="00121D9F">
        <w:rPr>
          <w:sz w:val="20"/>
          <w:szCs w:val="20"/>
        </w:rPr>
        <w:t xml:space="preserve"> (strai</w:t>
      </w:r>
      <w:r>
        <w:rPr>
          <w:sz w:val="20"/>
          <w:szCs w:val="20"/>
        </w:rPr>
        <w:t>n NZYM-SO). EFSA J</w:t>
      </w:r>
      <w:r w:rsidRPr="00121D9F">
        <w:rPr>
          <w:sz w:val="20"/>
          <w:szCs w:val="20"/>
        </w:rPr>
        <w:t xml:space="preserve"> 16(11):</w:t>
      </w:r>
      <w:r w:rsidR="0060683F">
        <w:rPr>
          <w:sz w:val="20"/>
          <w:szCs w:val="20"/>
        </w:rPr>
        <w:t>e0</w:t>
      </w:r>
      <w:r w:rsidRPr="00121D9F">
        <w:rPr>
          <w:sz w:val="20"/>
          <w:szCs w:val="20"/>
        </w:rPr>
        <w:t>5478.</w:t>
      </w:r>
      <w:r w:rsidRPr="00121D9F">
        <w:t xml:space="preserve"> </w:t>
      </w:r>
    </w:p>
    <w:p w14:paraId="1E7A4F02" w14:textId="3CD68FCE" w:rsidR="00121D9F" w:rsidRDefault="0071508C" w:rsidP="00121D9F">
      <w:pPr>
        <w:rPr>
          <w:sz w:val="20"/>
          <w:szCs w:val="20"/>
        </w:rPr>
      </w:pPr>
      <w:hyperlink r:id="rId21" w:history="1">
        <w:r w:rsidR="00121D9F" w:rsidRPr="00E05972">
          <w:rPr>
            <w:rStyle w:val="Hyperlink"/>
            <w:sz w:val="20"/>
            <w:szCs w:val="20"/>
          </w:rPr>
          <w:t>https://doi.org/10.2903/j.efsa.2018.5478</w:t>
        </w:r>
      </w:hyperlink>
      <w:r w:rsidR="00121D9F">
        <w:rPr>
          <w:sz w:val="20"/>
          <w:szCs w:val="20"/>
        </w:rPr>
        <w:t xml:space="preserve"> </w:t>
      </w:r>
    </w:p>
    <w:p w14:paraId="66166F25" w14:textId="77777777" w:rsidR="00121D9F" w:rsidRDefault="00121D9F" w:rsidP="00BF6956">
      <w:pPr>
        <w:rPr>
          <w:sz w:val="20"/>
          <w:szCs w:val="20"/>
        </w:rPr>
      </w:pPr>
    </w:p>
    <w:p w14:paraId="1B605AE5" w14:textId="77777777" w:rsidR="009A148B" w:rsidRPr="009A148B" w:rsidRDefault="009A148B" w:rsidP="009A148B">
      <w:pPr>
        <w:rPr>
          <w:sz w:val="20"/>
          <w:szCs w:val="20"/>
        </w:rPr>
      </w:pPr>
      <w:r w:rsidRPr="00121D9F">
        <w:rPr>
          <w:sz w:val="20"/>
          <w:szCs w:val="20"/>
        </w:rPr>
        <w:t xml:space="preserve">EFSA CEP Panel. </w:t>
      </w:r>
      <w:r>
        <w:rPr>
          <w:sz w:val="20"/>
          <w:szCs w:val="20"/>
        </w:rPr>
        <w:t xml:space="preserve">(2019) </w:t>
      </w:r>
      <w:r w:rsidRPr="009A148B">
        <w:rPr>
          <w:sz w:val="20"/>
          <w:szCs w:val="20"/>
        </w:rPr>
        <w:t>Safety evaluation of the food enzyme maltogenic amylase</w:t>
      </w:r>
    </w:p>
    <w:p w14:paraId="2D53CAD8" w14:textId="33E48CAE" w:rsidR="009A148B" w:rsidRPr="00121D9F" w:rsidRDefault="009A148B" w:rsidP="009A148B">
      <w:pPr>
        <w:rPr>
          <w:sz w:val="20"/>
          <w:szCs w:val="20"/>
        </w:rPr>
      </w:pPr>
      <w:r w:rsidRPr="009A148B">
        <w:rPr>
          <w:sz w:val="20"/>
          <w:szCs w:val="20"/>
        </w:rPr>
        <w:t xml:space="preserve">from genetically modified </w:t>
      </w:r>
      <w:r w:rsidRPr="009A148B">
        <w:rPr>
          <w:i/>
          <w:sz w:val="20"/>
          <w:szCs w:val="20"/>
        </w:rPr>
        <w:t>Escherichia coli</w:t>
      </w:r>
      <w:r w:rsidRPr="009A148B">
        <w:rPr>
          <w:sz w:val="20"/>
          <w:szCs w:val="20"/>
        </w:rPr>
        <w:t xml:space="preserve"> (strain BLASC)</w:t>
      </w:r>
      <w:r>
        <w:rPr>
          <w:sz w:val="20"/>
          <w:szCs w:val="20"/>
        </w:rPr>
        <w:t>. EFSA J</w:t>
      </w:r>
      <w:r w:rsidRPr="00121D9F">
        <w:rPr>
          <w:sz w:val="20"/>
          <w:szCs w:val="20"/>
        </w:rPr>
        <w:t xml:space="preserve"> 1</w:t>
      </w:r>
      <w:r>
        <w:rPr>
          <w:sz w:val="20"/>
          <w:szCs w:val="20"/>
        </w:rPr>
        <w:t>7</w:t>
      </w:r>
      <w:r w:rsidRPr="00121D9F">
        <w:rPr>
          <w:sz w:val="20"/>
          <w:szCs w:val="20"/>
        </w:rPr>
        <w:t>(</w:t>
      </w:r>
      <w:r>
        <w:rPr>
          <w:sz w:val="20"/>
          <w:szCs w:val="20"/>
        </w:rPr>
        <w:t>7</w:t>
      </w:r>
      <w:r w:rsidRPr="00121D9F">
        <w:rPr>
          <w:sz w:val="20"/>
          <w:szCs w:val="20"/>
        </w:rPr>
        <w:t>):</w:t>
      </w:r>
      <w:r w:rsidR="0060683F">
        <w:rPr>
          <w:sz w:val="20"/>
          <w:szCs w:val="20"/>
        </w:rPr>
        <w:t>e0</w:t>
      </w:r>
      <w:r w:rsidRPr="00121D9F">
        <w:rPr>
          <w:sz w:val="20"/>
          <w:szCs w:val="20"/>
        </w:rPr>
        <w:t>5</w:t>
      </w:r>
      <w:r>
        <w:rPr>
          <w:sz w:val="20"/>
          <w:szCs w:val="20"/>
        </w:rPr>
        <w:t>769</w:t>
      </w:r>
      <w:r w:rsidRPr="00121D9F">
        <w:t xml:space="preserve"> </w:t>
      </w:r>
    </w:p>
    <w:p w14:paraId="57075B51" w14:textId="2D79D974" w:rsidR="001362BC" w:rsidRDefault="0071508C" w:rsidP="00BF6956">
      <w:pPr>
        <w:rPr>
          <w:sz w:val="20"/>
          <w:szCs w:val="20"/>
        </w:rPr>
      </w:pPr>
      <w:hyperlink r:id="rId22" w:history="1">
        <w:r w:rsidR="001362BC" w:rsidRPr="002F4160">
          <w:rPr>
            <w:rStyle w:val="Hyperlink"/>
            <w:sz w:val="20"/>
            <w:szCs w:val="20"/>
          </w:rPr>
          <w:t>https://efsa.onlinelibrary.wiley.com/doi/10.2903/j.efsa.2019.5769</w:t>
        </w:r>
      </w:hyperlink>
      <w:r w:rsidR="001362BC">
        <w:rPr>
          <w:sz w:val="20"/>
          <w:szCs w:val="20"/>
        </w:rPr>
        <w:t xml:space="preserve"> </w:t>
      </w:r>
    </w:p>
    <w:p w14:paraId="5127983C" w14:textId="77777777" w:rsidR="009A148B" w:rsidRDefault="009A148B" w:rsidP="00BF6956">
      <w:pPr>
        <w:rPr>
          <w:sz w:val="20"/>
          <w:szCs w:val="20"/>
        </w:rPr>
      </w:pPr>
    </w:p>
    <w:p w14:paraId="26F69F41" w14:textId="6C912571" w:rsidR="002C3C61" w:rsidRDefault="002C3C61" w:rsidP="00BF6956">
      <w:pPr>
        <w:rPr>
          <w:sz w:val="20"/>
          <w:szCs w:val="20"/>
        </w:rPr>
      </w:pPr>
      <w:r>
        <w:rPr>
          <w:sz w:val="20"/>
          <w:szCs w:val="20"/>
        </w:rPr>
        <w:t xml:space="preserve">JECFA (1990) Evaluation of certain food additives and contaminants: thirty-seventh report of the joint FAO/WHO Expert Committee on Food Additives. World Health Organisation technical report series: 806. </w:t>
      </w:r>
      <w:hyperlink r:id="rId23" w:history="1">
        <w:r w:rsidRPr="008E79E8">
          <w:rPr>
            <w:rStyle w:val="Hyperlink"/>
            <w:sz w:val="20"/>
            <w:szCs w:val="20"/>
          </w:rPr>
          <w:t>https://apps.who.int/food-additives-contaminants-jecfa-database/chemical.aspx?chemID=339</w:t>
        </w:r>
      </w:hyperlink>
      <w:r>
        <w:rPr>
          <w:sz w:val="20"/>
          <w:szCs w:val="20"/>
        </w:rPr>
        <w:t xml:space="preserve"> </w:t>
      </w:r>
    </w:p>
    <w:p w14:paraId="6231C58B" w14:textId="77777777" w:rsidR="002C3C61" w:rsidRDefault="002C3C61" w:rsidP="00BF6956">
      <w:pPr>
        <w:rPr>
          <w:sz w:val="20"/>
          <w:szCs w:val="20"/>
        </w:rPr>
      </w:pPr>
    </w:p>
    <w:p w14:paraId="44D5812A" w14:textId="02452881" w:rsidR="00BF6956" w:rsidRPr="00BF6956" w:rsidRDefault="0060683F" w:rsidP="00BF6956">
      <w:pPr>
        <w:rPr>
          <w:sz w:val="20"/>
          <w:szCs w:val="20"/>
        </w:rPr>
      </w:pPr>
      <w:r>
        <w:rPr>
          <w:sz w:val="20"/>
          <w:szCs w:val="20"/>
        </w:rPr>
        <w:t>JEFCA</w:t>
      </w:r>
      <w:r w:rsidR="00BF6956" w:rsidRPr="00BF6956">
        <w:rPr>
          <w:sz w:val="20"/>
          <w:szCs w:val="20"/>
        </w:rPr>
        <w:t xml:space="preserve"> (</w:t>
      </w:r>
      <w:r w:rsidR="00BF6956" w:rsidRPr="00577DD7">
        <w:rPr>
          <w:sz w:val="20"/>
          <w:szCs w:val="20"/>
        </w:rPr>
        <w:t>20</w:t>
      </w:r>
      <w:r w:rsidR="00552C29" w:rsidRPr="00577DD7">
        <w:rPr>
          <w:sz w:val="20"/>
          <w:szCs w:val="20"/>
        </w:rPr>
        <w:t>06</w:t>
      </w:r>
      <w:r w:rsidR="00BF6956" w:rsidRPr="00577DD7">
        <w:rPr>
          <w:sz w:val="20"/>
          <w:szCs w:val="20"/>
        </w:rPr>
        <w:t>) G</w:t>
      </w:r>
      <w:r w:rsidR="00BF6956" w:rsidRPr="00BF6956">
        <w:rPr>
          <w:sz w:val="20"/>
          <w:szCs w:val="20"/>
        </w:rPr>
        <w:t xml:space="preserve">eneral specifications and considerations for enzyme preparations used in food processing. </w:t>
      </w:r>
      <w:hyperlink r:id="rId24" w:history="1">
        <w:r w:rsidR="00BF6956" w:rsidRPr="00BF6956">
          <w:rPr>
            <w:color w:val="3333FF"/>
            <w:sz w:val="20"/>
            <w:u w:val="single"/>
          </w:rPr>
          <w:t>http://www.fao.org/docrep/009/a0691e/A0691E03.htm</w:t>
        </w:r>
      </w:hyperlink>
      <w:r w:rsidR="00BF6956" w:rsidRPr="00BF6956">
        <w:rPr>
          <w:sz w:val="20"/>
          <w:szCs w:val="20"/>
        </w:rPr>
        <w:t xml:space="preserve"> </w:t>
      </w:r>
    </w:p>
    <w:p w14:paraId="09A6F5E2" w14:textId="1932FECB" w:rsidR="00D31406" w:rsidRDefault="00D31406" w:rsidP="00F50728">
      <w:pPr>
        <w:rPr>
          <w:sz w:val="20"/>
          <w:szCs w:val="20"/>
        </w:rPr>
      </w:pPr>
    </w:p>
    <w:p w14:paraId="1A6E068D" w14:textId="02506A0A" w:rsidR="00497A62" w:rsidRDefault="00031045" w:rsidP="00F50728">
      <w:pPr>
        <w:rPr>
          <w:sz w:val="20"/>
          <w:szCs w:val="20"/>
        </w:rPr>
      </w:pPr>
      <w:r>
        <w:rPr>
          <w:sz w:val="20"/>
          <w:szCs w:val="20"/>
        </w:rPr>
        <w:t>Goesaert H, Slade L, Levine H</w:t>
      </w:r>
      <w:r w:rsidR="0060683F">
        <w:rPr>
          <w:sz w:val="20"/>
          <w:szCs w:val="20"/>
        </w:rPr>
        <w:t>,</w:t>
      </w:r>
      <w:r>
        <w:rPr>
          <w:sz w:val="20"/>
          <w:szCs w:val="20"/>
        </w:rPr>
        <w:t xml:space="preserve"> Delcour JA (2009). Amylases and bread firming </w:t>
      </w:r>
      <w:r w:rsidR="0060683F">
        <w:rPr>
          <w:sz w:val="20"/>
          <w:szCs w:val="20"/>
        </w:rPr>
        <w:t>-</w:t>
      </w:r>
      <w:r>
        <w:rPr>
          <w:sz w:val="20"/>
          <w:szCs w:val="20"/>
        </w:rPr>
        <w:t xml:space="preserve"> an integrated view. </w:t>
      </w:r>
      <w:r w:rsidR="00DC6E79" w:rsidRPr="00DC6E79">
        <w:rPr>
          <w:sz w:val="20"/>
          <w:szCs w:val="20"/>
        </w:rPr>
        <w:t xml:space="preserve">J Cereal Sci </w:t>
      </w:r>
      <w:r>
        <w:rPr>
          <w:sz w:val="20"/>
          <w:szCs w:val="20"/>
        </w:rPr>
        <w:t>50:345-352</w:t>
      </w:r>
    </w:p>
    <w:p w14:paraId="419B3EAE" w14:textId="77777777" w:rsidR="00031045" w:rsidRDefault="00031045" w:rsidP="00F50728">
      <w:pPr>
        <w:rPr>
          <w:sz w:val="20"/>
          <w:szCs w:val="20"/>
        </w:rPr>
      </w:pPr>
    </w:p>
    <w:p w14:paraId="257DF432" w14:textId="68F2B70E" w:rsidR="00F35060" w:rsidRPr="004B0EC3" w:rsidRDefault="00BF6956" w:rsidP="00F50728">
      <w:pPr>
        <w:rPr>
          <w:sz w:val="20"/>
          <w:szCs w:val="20"/>
        </w:rPr>
      </w:pPr>
      <w:r w:rsidRPr="004B0EC3">
        <w:rPr>
          <w:sz w:val="20"/>
          <w:szCs w:val="20"/>
        </w:rPr>
        <w:t>IUBMB (2017) EC 3.2.1.</w:t>
      </w:r>
      <w:r w:rsidR="00552C29" w:rsidRPr="004B0EC3">
        <w:rPr>
          <w:sz w:val="20"/>
          <w:szCs w:val="20"/>
        </w:rPr>
        <w:t>133</w:t>
      </w:r>
      <w:r w:rsidRPr="004B0EC3">
        <w:rPr>
          <w:sz w:val="20"/>
          <w:szCs w:val="20"/>
        </w:rPr>
        <w:t>.</w:t>
      </w:r>
      <w:r w:rsidRPr="00552C29">
        <w:rPr>
          <w:color w:val="FF0000"/>
          <w:sz w:val="20"/>
          <w:szCs w:val="20"/>
        </w:rPr>
        <w:t xml:space="preserve"> </w:t>
      </w:r>
      <w:hyperlink r:id="rId25" w:history="1">
        <w:r w:rsidR="004B0EC3" w:rsidRPr="003825A5">
          <w:rPr>
            <w:rStyle w:val="Hyperlink"/>
            <w:sz w:val="20"/>
            <w:szCs w:val="20"/>
          </w:rPr>
          <w:t>https://www.qmul.ac.uk/sbcs/iubmb/enzyme/EC3/2/1/133.html</w:t>
        </w:r>
      </w:hyperlink>
      <w:r w:rsidR="004B0EC3">
        <w:rPr>
          <w:color w:val="FF0000"/>
          <w:sz w:val="20"/>
          <w:szCs w:val="20"/>
        </w:rPr>
        <w:t xml:space="preserve"> </w:t>
      </w:r>
      <w:r w:rsidR="004B0EC3" w:rsidRPr="004B0EC3">
        <w:rPr>
          <w:sz w:val="20"/>
          <w:szCs w:val="20"/>
        </w:rPr>
        <w:t>accessed 8 December 2020</w:t>
      </w:r>
    </w:p>
    <w:p w14:paraId="01F77FE1" w14:textId="6E3A6E80" w:rsidR="00A57299" w:rsidRDefault="00A57299" w:rsidP="00F50728">
      <w:pPr>
        <w:rPr>
          <w:color w:val="FF0000"/>
          <w:sz w:val="20"/>
          <w:szCs w:val="20"/>
        </w:rPr>
      </w:pPr>
    </w:p>
    <w:p w14:paraId="52AE114C" w14:textId="45FFBD32" w:rsidR="00A57299" w:rsidRPr="0060683F" w:rsidRDefault="00A57299" w:rsidP="00F50728">
      <w:pPr>
        <w:rPr>
          <w:color w:val="FF0000"/>
          <w:sz w:val="18"/>
          <w:szCs w:val="20"/>
        </w:rPr>
      </w:pPr>
      <w:r w:rsidRPr="0060683F">
        <w:rPr>
          <w:sz w:val="20"/>
          <w:lang w:val="en-AU"/>
        </w:rPr>
        <w:t xml:space="preserve">Molly K, Woestyne MV, Verstraete W (1993) Development of a 5-step multi-chamber reactor as a simulation of the human intestinal microbial ecosystem. </w:t>
      </w:r>
      <w:r w:rsidR="00DC6E79">
        <w:rPr>
          <w:sz w:val="20"/>
          <w:lang w:val="en-AU"/>
        </w:rPr>
        <w:t>Appl Microbiol Biotechnol</w:t>
      </w:r>
      <w:r w:rsidR="00DC6E79" w:rsidRPr="00DC6E79">
        <w:rPr>
          <w:sz w:val="20"/>
          <w:lang w:val="en-AU"/>
        </w:rPr>
        <w:t xml:space="preserve"> </w:t>
      </w:r>
      <w:r w:rsidR="00DC6E79">
        <w:rPr>
          <w:sz w:val="20"/>
          <w:lang w:val="en-AU"/>
        </w:rPr>
        <w:t>39:</w:t>
      </w:r>
      <w:r w:rsidRPr="0060683F">
        <w:rPr>
          <w:sz w:val="20"/>
          <w:lang w:val="en-AU"/>
        </w:rPr>
        <w:t>254-258</w:t>
      </w:r>
    </w:p>
    <w:p w14:paraId="29C5135D" w14:textId="1E5F8083" w:rsidR="007E31BD" w:rsidRPr="0060683F" w:rsidRDefault="007E31BD" w:rsidP="00F50728">
      <w:pPr>
        <w:rPr>
          <w:sz w:val="20"/>
          <w:szCs w:val="20"/>
        </w:rPr>
      </w:pPr>
    </w:p>
    <w:p w14:paraId="24DDB142" w14:textId="036162BE" w:rsidR="00BF6956" w:rsidRPr="0060683F" w:rsidRDefault="0060683F" w:rsidP="00F50728">
      <w:pPr>
        <w:rPr>
          <w:sz w:val="20"/>
        </w:rPr>
      </w:pPr>
      <w:r w:rsidRPr="0060683F">
        <w:rPr>
          <w:sz w:val="20"/>
          <w:szCs w:val="20"/>
        </w:rPr>
        <w:t>USP</w:t>
      </w:r>
      <w:r w:rsidR="00BF6956" w:rsidRPr="0060683F">
        <w:rPr>
          <w:sz w:val="20"/>
          <w:szCs w:val="20"/>
        </w:rPr>
        <w:t xml:space="preserve"> (2018) Food Chemicals Codex 11th Edition, United States Pharmacopeial Convention, Rockville, MD. </w:t>
      </w:r>
      <w:hyperlink r:id="rId26" w:history="1">
        <w:r w:rsidR="00BF6956" w:rsidRPr="0060683F">
          <w:rPr>
            <w:rStyle w:val="Hyperlink"/>
            <w:sz w:val="20"/>
          </w:rPr>
          <w:t>http://publications.usp.org/</w:t>
        </w:r>
      </w:hyperlink>
      <w:r>
        <w:rPr>
          <w:sz w:val="20"/>
          <w:u w:val="single"/>
        </w:rPr>
        <w:t xml:space="preserve"> </w:t>
      </w:r>
    </w:p>
    <w:sectPr w:rsidR="00BF6956" w:rsidRPr="0060683F"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FCD8" w14:textId="77777777" w:rsidR="00926D01" w:rsidRDefault="00926D01">
      <w:r>
        <w:separator/>
      </w:r>
    </w:p>
  </w:endnote>
  <w:endnote w:type="continuationSeparator" w:id="0">
    <w:p w14:paraId="5E59E5BD" w14:textId="77777777" w:rsidR="00926D01" w:rsidRDefault="00926D01">
      <w:r>
        <w:continuationSeparator/>
      </w:r>
    </w:p>
  </w:endnote>
  <w:endnote w:type="continuationNotice" w:id="1">
    <w:p w14:paraId="64599CA0" w14:textId="77777777" w:rsidR="00926D01" w:rsidRDefault="0092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F5CAED5" w:rsidR="00926D01" w:rsidRDefault="00926D01" w:rsidP="00831C4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926D01" w:rsidRDefault="00926D01" w:rsidP="008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615095C6" w:rsidR="00926D01" w:rsidRDefault="00926D0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08C">
      <w:rPr>
        <w:rStyle w:val="PageNumber"/>
        <w:noProof/>
      </w:rPr>
      <w:t>i</w:t>
    </w:r>
    <w:r>
      <w:rPr>
        <w:rStyle w:val="PageNumber"/>
      </w:rPr>
      <w:fldChar w:fldCharType="end"/>
    </w:r>
  </w:p>
  <w:p w14:paraId="3B547F5C" w14:textId="77777777" w:rsidR="00926D01" w:rsidRDefault="00926D01" w:rsidP="00831C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27D8" w14:textId="77777777" w:rsidR="00926D01" w:rsidRDefault="00926D01">
      <w:r>
        <w:separator/>
      </w:r>
    </w:p>
  </w:footnote>
  <w:footnote w:type="continuationSeparator" w:id="0">
    <w:p w14:paraId="653F5F2B" w14:textId="77777777" w:rsidR="00926D01" w:rsidRDefault="00926D01">
      <w:r>
        <w:continuationSeparator/>
      </w:r>
    </w:p>
  </w:footnote>
  <w:footnote w:type="continuationNotice" w:id="1">
    <w:p w14:paraId="7888E6A1" w14:textId="77777777" w:rsidR="00926D01" w:rsidRDefault="00926D01"/>
  </w:footnote>
  <w:footnote w:id="2">
    <w:p w14:paraId="29291CEC" w14:textId="77777777" w:rsidR="00926D01" w:rsidRPr="00B714B5" w:rsidRDefault="00926D01" w:rsidP="000C4E5F">
      <w:pPr>
        <w:pStyle w:val="FootnoteText"/>
        <w:rPr>
          <w:lang w:val="en-AU"/>
        </w:rPr>
      </w:pPr>
      <w:r>
        <w:rPr>
          <w:rStyle w:val="FootnoteReference"/>
        </w:rPr>
        <w:footnoteRef/>
      </w:r>
      <w:r>
        <w:t xml:space="preserve"> </w:t>
      </w:r>
      <w:r w:rsidRPr="0084108A">
        <w:t>International Union of Biochemistry and Molecular Biology</w:t>
      </w:r>
    </w:p>
  </w:footnote>
  <w:footnote w:id="3">
    <w:p w14:paraId="294764A0" w14:textId="77777777" w:rsidR="00926D01" w:rsidRPr="006D0450" w:rsidRDefault="00926D01" w:rsidP="000C4E5F">
      <w:pPr>
        <w:pStyle w:val="FootnoteText"/>
        <w:rPr>
          <w:lang w:val="en-AU"/>
        </w:rPr>
      </w:pPr>
      <w:r>
        <w:rPr>
          <w:rStyle w:val="FootnoteReference"/>
        </w:rPr>
        <w:footnoteRef/>
      </w:r>
      <w:r>
        <w:t xml:space="preserve"> </w:t>
      </w:r>
      <w:r w:rsidRPr="002D3667">
        <w:rPr>
          <w:sz w:val="18"/>
          <w:lang w:val="en-AU"/>
        </w:rPr>
        <w:t xml:space="preserve">Chemical Abstracts Service </w:t>
      </w:r>
    </w:p>
  </w:footnote>
  <w:footnote w:id="4">
    <w:p w14:paraId="22CCBF39" w14:textId="170DDC3E" w:rsidR="00926D01" w:rsidRPr="00D0073A" w:rsidRDefault="00926D01">
      <w:pPr>
        <w:pStyle w:val="FootnoteText"/>
        <w:rPr>
          <w:lang w:val="en-AU"/>
        </w:rPr>
      </w:pPr>
      <w:r>
        <w:rPr>
          <w:rStyle w:val="FootnoteReference"/>
        </w:rPr>
        <w:footnoteRef/>
      </w:r>
      <w:r>
        <w:t xml:space="preserve"> </w:t>
      </w:r>
      <w:r w:rsidRPr="00D0073A">
        <w:rPr>
          <w:sz w:val="18"/>
        </w:rPr>
        <w:t>https://my.absa.org/Riskgroups</w:t>
      </w:r>
    </w:p>
  </w:footnote>
  <w:footnote w:id="5">
    <w:p w14:paraId="06847A29" w14:textId="77777777" w:rsidR="00926D01" w:rsidRPr="0060683F" w:rsidRDefault="00926D01" w:rsidP="00B91C6F">
      <w:pPr>
        <w:pStyle w:val="FootnoteText"/>
        <w:rPr>
          <w:sz w:val="18"/>
          <w:lang w:val="en-AU"/>
        </w:rPr>
      </w:pPr>
      <w:r>
        <w:rPr>
          <w:rStyle w:val="FootnoteReference"/>
        </w:rPr>
        <w:footnoteRef/>
      </w:r>
      <w:r>
        <w:t xml:space="preserve"> </w:t>
      </w:r>
      <w:hyperlink r:id="rId1" w:history="1">
        <w:r w:rsidRPr="0060683F">
          <w:rPr>
            <w:rStyle w:val="Hyperlink"/>
            <w:sz w:val="18"/>
          </w:rPr>
          <w:t>https://www.uniprot.org/</w:t>
        </w:r>
      </w:hyperlink>
      <w:r w:rsidRPr="0060683F">
        <w:rPr>
          <w:sz w:val="18"/>
        </w:rPr>
        <w:t xml:space="preserve"> </w:t>
      </w:r>
    </w:p>
  </w:footnote>
  <w:footnote w:id="6">
    <w:p w14:paraId="059C5F01" w14:textId="1A25C372" w:rsidR="00926D01" w:rsidRPr="00B8062E" w:rsidRDefault="00926D01">
      <w:pPr>
        <w:pStyle w:val="FootnoteText"/>
        <w:rPr>
          <w:lang w:val="en-AU"/>
        </w:rPr>
      </w:pPr>
      <w:r>
        <w:rPr>
          <w:rStyle w:val="FootnoteReference"/>
        </w:rPr>
        <w:footnoteRef/>
      </w:r>
      <w:r>
        <w:rPr>
          <w:sz w:val="18"/>
        </w:rPr>
        <w:t xml:space="preserve"> </w:t>
      </w:r>
      <w:r w:rsidRPr="0060683F">
        <w:rPr>
          <w:sz w:val="18"/>
        </w:rPr>
        <w:t xml:space="preserve">AllergenOnline is curated by the Food AllergyResearch and Resource Program of the University of Nebraska, and is available at </w:t>
      </w:r>
      <w:hyperlink r:id="rId2" w:history="1">
        <w:r w:rsidRPr="0060683F">
          <w:rPr>
            <w:rStyle w:val="Hyperlink"/>
            <w:sz w:val="18"/>
            <w:lang w:val="en-AU"/>
          </w:rPr>
          <w:t>http://www.allergenonline.org/</w:t>
        </w:r>
      </w:hyperlink>
      <w:r w:rsidRPr="0060683F">
        <w:rPr>
          <w:sz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155C136A" w:rsidR="00926D01" w:rsidRDefault="00926D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08A"/>
    <w:multiLevelType w:val="hybridMultilevel"/>
    <w:tmpl w:val="BEBCE76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C3170"/>
    <w:multiLevelType w:val="hybridMultilevel"/>
    <w:tmpl w:val="943AF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BB05C4F"/>
    <w:multiLevelType w:val="hybridMultilevel"/>
    <w:tmpl w:val="3316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135EB"/>
    <w:multiLevelType w:val="hybridMultilevel"/>
    <w:tmpl w:val="7F88E5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15"/>
  </w:num>
  <w:num w:numId="6">
    <w:abstractNumId w:val="9"/>
  </w:num>
  <w:num w:numId="7">
    <w:abstractNumId w:val="3"/>
  </w:num>
  <w:num w:numId="8">
    <w:abstractNumId w:val="7"/>
  </w:num>
  <w:num w:numId="9">
    <w:abstractNumId w:val="16"/>
  </w:num>
  <w:num w:numId="10">
    <w:abstractNumId w:val="8"/>
  </w:num>
  <w:num w:numId="11">
    <w:abstractNumId w:val="4"/>
  </w:num>
  <w:num w:numId="12">
    <w:abstractNumId w:val="13"/>
  </w:num>
  <w:num w:numId="13">
    <w:abstractNumId w:val="8"/>
  </w:num>
  <w:num w:numId="14">
    <w:abstractNumId w:val="5"/>
  </w:num>
  <w:num w:numId="15">
    <w:abstractNumId w:val="12"/>
  </w:num>
  <w:num w:numId="16">
    <w:abstractNumId w:val="10"/>
  </w:num>
  <w:num w:numId="17">
    <w:abstractNumId w:val="0"/>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99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11A"/>
    <w:rsid w:val="00006E83"/>
    <w:rsid w:val="00011015"/>
    <w:rsid w:val="00012C5C"/>
    <w:rsid w:val="000166F5"/>
    <w:rsid w:val="0002280D"/>
    <w:rsid w:val="00023867"/>
    <w:rsid w:val="00031045"/>
    <w:rsid w:val="00031D7D"/>
    <w:rsid w:val="00034296"/>
    <w:rsid w:val="00035FF3"/>
    <w:rsid w:val="00036D50"/>
    <w:rsid w:val="00040779"/>
    <w:rsid w:val="000448CC"/>
    <w:rsid w:val="000504B2"/>
    <w:rsid w:val="00050A2F"/>
    <w:rsid w:val="00051021"/>
    <w:rsid w:val="00051ED9"/>
    <w:rsid w:val="0005380F"/>
    <w:rsid w:val="00054480"/>
    <w:rsid w:val="000544D6"/>
    <w:rsid w:val="00054E1D"/>
    <w:rsid w:val="00057181"/>
    <w:rsid w:val="00062989"/>
    <w:rsid w:val="0006473A"/>
    <w:rsid w:val="00064937"/>
    <w:rsid w:val="00064B2D"/>
    <w:rsid w:val="000656E1"/>
    <w:rsid w:val="00065E98"/>
    <w:rsid w:val="00065F1F"/>
    <w:rsid w:val="000661D1"/>
    <w:rsid w:val="00067084"/>
    <w:rsid w:val="0007030F"/>
    <w:rsid w:val="0007040D"/>
    <w:rsid w:val="0007145B"/>
    <w:rsid w:val="0007291E"/>
    <w:rsid w:val="00075E88"/>
    <w:rsid w:val="00076D33"/>
    <w:rsid w:val="00084919"/>
    <w:rsid w:val="00087B69"/>
    <w:rsid w:val="00087EFA"/>
    <w:rsid w:val="00091742"/>
    <w:rsid w:val="00092CDA"/>
    <w:rsid w:val="00093855"/>
    <w:rsid w:val="00093E7E"/>
    <w:rsid w:val="00095A54"/>
    <w:rsid w:val="000A14E9"/>
    <w:rsid w:val="000A17A8"/>
    <w:rsid w:val="000A27E9"/>
    <w:rsid w:val="000A3D8B"/>
    <w:rsid w:val="000A3FCD"/>
    <w:rsid w:val="000A5DF8"/>
    <w:rsid w:val="000A62C3"/>
    <w:rsid w:val="000A77E3"/>
    <w:rsid w:val="000B5751"/>
    <w:rsid w:val="000B594B"/>
    <w:rsid w:val="000B6AF2"/>
    <w:rsid w:val="000C15B0"/>
    <w:rsid w:val="000C3587"/>
    <w:rsid w:val="000C370B"/>
    <w:rsid w:val="000C4991"/>
    <w:rsid w:val="000C4E5F"/>
    <w:rsid w:val="000C6EFC"/>
    <w:rsid w:val="000D21FF"/>
    <w:rsid w:val="000D2E00"/>
    <w:rsid w:val="000D5CDD"/>
    <w:rsid w:val="000D6FD4"/>
    <w:rsid w:val="000D7DC0"/>
    <w:rsid w:val="000D7E57"/>
    <w:rsid w:val="000E0AE4"/>
    <w:rsid w:val="000E3DBC"/>
    <w:rsid w:val="000E4EBA"/>
    <w:rsid w:val="000E6DE2"/>
    <w:rsid w:val="000E7ABE"/>
    <w:rsid w:val="000F3894"/>
    <w:rsid w:val="000F660B"/>
    <w:rsid w:val="00102335"/>
    <w:rsid w:val="00102AFE"/>
    <w:rsid w:val="00104E2F"/>
    <w:rsid w:val="001055B3"/>
    <w:rsid w:val="00107EB0"/>
    <w:rsid w:val="00112098"/>
    <w:rsid w:val="00112336"/>
    <w:rsid w:val="0011283F"/>
    <w:rsid w:val="00113C05"/>
    <w:rsid w:val="00113CE3"/>
    <w:rsid w:val="00114AFC"/>
    <w:rsid w:val="00117522"/>
    <w:rsid w:val="00120D3A"/>
    <w:rsid w:val="00121D9F"/>
    <w:rsid w:val="00125694"/>
    <w:rsid w:val="00135005"/>
    <w:rsid w:val="0013502D"/>
    <w:rsid w:val="001362BC"/>
    <w:rsid w:val="001426F6"/>
    <w:rsid w:val="00143EDA"/>
    <w:rsid w:val="00151245"/>
    <w:rsid w:val="001516A3"/>
    <w:rsid w:val="001542D8"/>
    <w:rsid w:val="00160294"/>
    <w:rsid w:val="00163B4D"/>
    <w:rsid w:val="00167F19"/>
    <w:rsid w:val="00170449"/>
    <w:rsid w:val="001808F7"/>
    <w:rsid w:val="00180C41"/>
    <w:rsid w:val="00182C4C"/>
    <w:rsid w:val="00186CE4"/>
    <w:rsid w:val="00187237"/>
    <w:rsid w:val="00190460"/>
    <w:rsid w:val="0019100F"/>
    <w:rsid w:val="001927C1"/>
    <w:rsid w:val="00195967"/>
    <w:rsid w:val="0019741C"/>
    <w:rsid w:val="00197D8D"/>
    <w:rsid w:val="001A1A75"/>
    <w:rsid w:val="001A592B"/>
    <w:rsid w:val="001A7E9A"/>
    <w:rsid w:val="001B26E9"/>
    <w:rsid w:val="001B70F7"/>
    <w:rsid w:val="001C0BAB"/>
    <w:rsid w:val="001C0CD2"/>
    <w:rsid w:val="001C27A3"/>
    <w:rsid w:val="001C3CD3"/>
    <w:rsid w:val="001C5295"/>
    <w:rsid w:val="001C6769"/>
    <w:rsid w:val="001D146E"/>
    <w:rsid w:val="001D22D2"/>
    <w:rsid w:val="001D7A17"/>
    <w:rsid w:val="001D7C88"/>
    <w:rsid w:val="001E09FA"/>
    <w:rsid w:val="001E3002"/>
    <w:rsid w:val="001E3AE8"/>
    <w:rsid w:val="001E4D21"/>
    <w:rsid w:val="001E604D"/>
    <w:rsid w:val="001E6794"/>
    <w:rsid w:val="001E6A7B"/>
    <w:rsid w:val="001E72B8"/>
    <w:rsid w:val="001F061E"/>
    <w:rsid w:val="001F2503"/>
    <w:rsid w:val="001F30E1"/>
    <w:rsid w:val="001F3D7E"/>
    <w:rsid w:val="001F74B6"/>
    <w:rsid w:val="00203540"/>
    <w:rsid w:val="002059C8"/>
    <w:rsid w:val="002075D5"/>
    <w:rsid w:val="00211BE1"/>
    <w:rsid w:val="00213ACE"/>
    <w:rsid w:val="0021612B"/>
    <w:rsid w:val="00220677"/>
    <w:rsid w:val="0022083A"/>
    <w:rsid w:val="00221445"/>
    <w:rsid w:val="00221D07"/>
    <w:rsid w:val="00223913"/>
    <w:rsid w:val="00223E6B"/>
    <w:rsid w:val="00226206"/>
    <w:rsid w:val="00227E4A"/>
    <w:rsid w:val="0024582E"/>
    <w:rsid w:val="00245C56"/>
    <w:rsid w:val="0024696E"/>
    <w:rsid w:val="002471A6"/>
    <w:rsid w:val="00250082"/>
    <w:rsid w:val="00250F95"/>
    <w:rsid w:val="002519C8"/>
    <w:rsid w:val="002547EF"/>
    <w:rsid w:val="00256D65"/>
    <w:rsid w:val="00261BCA"/>
    <w:rsid w:val="00262D8E"/>
    <w:rsid w:val="00262F44"/>
    <w:rsid w:val="00264133"/>
    <w:rsid w:val="00265D02"/>
    <w:rsid w:val="00271F00"/>
    <w:rsid w:val="0027300B"/>
    <w:rsid w:val="00273A80"/>
    <w:rsid w:val="002811F4"/>
    <w:rsid w:val="00283559"/>
    <w:rsid w:val="002836C0"/>
    <w:rsid w:val="00285948"/>
    <w:rsid w:val="00285CF5"/>
    <w:rsid w:val="00286D3A"/>
    <w:rsid w:val="00286D4A"/>
    <w:rsid w:val="00287CCB"/>
    <w:rsid w:val="0029204E"/>
    <w:rsid w:val="0029216A"/>
    <w:rsid w:val="0029292A"/>
    <w:rsid w:val="002942C5"/>
    <w:rsid w:val="0029631C"/>
    <w:rsid w:val="00296841"/>
    <w:rsid w:val="002A0194"/>
    <w:rsid w:val="002A0B87"/>
    <w:rsid w:val="002A3314"/>
    <w:rsid w:val="002A5F8B"/>
    <w:rsid w:val="002A6CA9"/>
    <w:rsid w:val="002A7019"/>
    <w:rsid w:val="002A7437"/>
    <w:rsid w:val="002A77F4"/>
    <w:rsid w:val="002A7F6C"/>
    <w:rsid w:val="002B13CF"/>
    <w:rsid w:val="002B5037"/>
    <w:rsid w:val="002B5881"/>
    <w:rsid w:val="002B59CF"/>
    <w:rsid w:val="002B69FF"/>
    <w:rsid w:val="002C227E"/>
    <w:rsid w:val="002C2E41"/>
    <w:rsid w:val="002C3A98"/>
    <w:rsid w:val="002C3C61"/>
    <w:rsid w:val="002C4053"/>
    <w:rsid w:val="002C425D"/>
    <w:rsid w:val="002C447B"/>
    <w:rsid w:val="002C5C5E"/>
    <w:rsid w:val="002C78AE"/>
    <w:rsid w:val="002D0994"/>
    <w:rsid w:val="002D16D5"/>
    <w:rsid w:val="002D2813"/>
    <w:rsid w:val="002D3667"/>
    <w:rsid w:val="002D4682"/>
    <w:rsid w:val="002D6809"/>
    <w:rsid w:val="002E11BC"/>
    <w:rsid w:val="002E1C77"/>
    <w:rsid w:val="002E42A3"/>
    <w:rsid w:val="002E5C5A"/>
    <w:rsid w:val="002E6364"/>
    <w:rsid w:val="002E6AC7"/>
    <w:rsid w:val="002E6E8D"/>
    <w:rsid w:val="002E740B"/>
    <w:rsid w:val="002F26BE"/>
    <w:rsid w:val="002F27B6"/>
    <w:rsid w:val="002F4D76"/>
    <w:rsid w:val="002F6488"/>
    <w:rsid w:val="002F7E92"/>
    <w:rsid w:val="0030076F"/>
    <w:rsid w:val="00302801"/>
    <w:rsid w:val="00302F66"/>
    <w:rsid w:val="0031203C"/>
    <w:rsid w:val="00320839"/>
    <w:rsid w:val="00320E08"/>
    <w:rsid w:val="003213F9"/>
    <w:rsid w:val="003235C3"/>
    <w:rsid w:val="00323DBF"/>
    <w:rsid w:val="00326D85"/>
    <w:rsid w:val="003304EA"/>
    <w:rsid w:val="003309A8"/>
    <w:rsid w:val="003326FD"/>
    <w:rsid w:val="00332B12"/>
    <w:rsid w:val="003368BA"/>
    <w:rsid w:val="00336B25"/>
    <w:rsid w:val="003370AE"/>
    <w:rsid w:val="003371FC"/>
    <w:rsid w:val="00337783"/>
    <w:rsid w:val="003400B0"/>
    <w:rsid w:val="00340EB7"/>
    <w:rsid w:val="00341494"/>
    <w:rsid w:val="00341B32"/>
    <w:rsid w:val="00345FF5"/>
    <w:rsid w:val="00347A1D"/>
    <w:rsid w:val="0035149D"/>
    <w:rsid w:val="00351B07"/>
    <w:rsid w:val="00352C64"/>
    <w:rsid w:val="00352CF2"/>
    <w:rsid w:val="00353F35"/>
    <w:rsid w:val="00356330"/>
    <w:rsid w:val="00363BA9"/>
    <w:rsid w:val="00364841"/>
    <w:rsid w:val="0037063D"/>
    <w:rsid w:val="00370C9B"/>
    <w:rsid w:val="003714DC"/>
    <w:rsid w:val="00371B29"/>
    <w:rsid w:val="00371FFA"/>
    <w:rsid w:val="0037210D"/>
    <w:rsid w:val="00375904"/>
    <w:rsid w:val="00375EFC"/>
    <w:rsid w:val="0037656B"/>
    <w:rsid w:val="00376787"/>
    <w:rsid w:val="00385E10"/>
    <w:rsid w:val="00385EFD"/>
    <w:rsid w:val="00386205"/>
    <w:rsid w:val="00391769"/>
    <w:rsid w:val="003953E1"/>
    <w:rsid w:val="003956B3"/>
    <w:rsid w:val="003965C1"/>
    <w:rsid w:val="003A2BB7"/>
    <w:rsid w:val="003A68BE"/>
    <w:rsid w:val="003A76CC"/>
    <w:rsid w:val="003B0180"/>
    <w:rsid w:val="003B0861"/>
    <w:rsid w:val="003B1805"/>
    <w:rsid w:val="003B1F0D"/>
    <w:rsid w:val="003B2C60"/>
    <w:rsid w:val="003B35EE"/>
    <w:rsid w:val="003B3C9D"/>
    <w:rsid w:val="003B78E0"/>
    <w:rsid w:val="003C1F1D"/>
    <w:rsid w:val="003C2888"/>
    <w:rsid w:val="003C4969"/>
    <w:rsid w:val="003D03F9"/>
    <w:rsid w:val="003D3847"/>
    <w:rsid w:val="003E264A"/>
    <w:rsid w:val="003E337F"/>
    <w:rsid w:val="003E41D5"/>
    <w:rsid w:val="003E4482"/>
    <w:rsid w:val="003E44B5"/>
    <w:rsid w:val="003E46BA"/>
    <w:rsid w:val="003E57B5"/>
    <w:rsid w:val="003E7D22"/>
    <w:rsid w:val="003F254D"/>
    <w:rsid w:val="003F67C8"/>
    <w:rsid w:val="003F74C1"/>
    <w:rsid w:val="003F79EC"/>
    <w:rsid w:val="00401071"/>
    <w:rsid w:val="00401B6A"/>
    <w:rsid w:val="004036C3"/>
    <w:rsid w:val="00403DC2"/>
    <w:rsid w:val="00405B1A"/>
    <w:rsid w:val="0040722C"/>
    <w:rsid w:val="0041000C"/>
    <w:rsid w:val="00410C76"/>
    <w:rsid w:val="00411907"/>
    <w:rsid w:val="00413958"/>
    <w:rsid w:val="00413CA8"/>
    <w:rsid w:val="00413F41"/>
    <w:rsid w:val="00415983"/>
    <w:rsid w:val="00417EE3"/>
    <w:rsid w:val="004207EB"/>
    <w:rsid w:val="004209A7"/>
    <w:rsid w:val="004269C1"/>
    <w:rsid w:val="004325B0"/>
    <w:rsid w:val="00435466"/>
    <w:rsid w:val="00436116"/>
    <w:rsid w:val="00437276"/>
    <w:rsid w:val="004443A1"/>
    <w:rsid w:val="0045158B"/>
    <w:rsid w:val="00451BFF"/>
    <w:rsid w:val="004524D9"/>
    <w:rsid w:val="00452BBD"/>
    <w:rsid w:val="00455DD4"/>
    <w:rsid w:val="00456411"/>
    <w:rsid w:val="00456B54"/>
    <w:rsid w:val="00457937"/>
    <w:rsid w:val="00461491"/>
    <w:rsid w:val="00463A74"/>
    <w:rsid w:val="00464643"/>
    <w:rsid w:val="00471BAE"/>
    <w:rsid w:val="00474ADA"/>
    <w:rsid w:val="0047616E"/>
    <w:rsid w:val="004761BD"/>
    <w:rsid w:val="004768F0"/>
    <w:rsid w:val="0048348F"/>
    <w:rsid w:val="00483FCB"/>
    <w:rsid w:val="0048559C"/>
    <w:rsid w:val="00486793"/>
    <w:rsid w:val="00487C80"/>
    <w:rsid w:val="00492650"/>
    <w:rsid w:val="004942E3"/>
    <w:rsid w:val="00496A02"/>
    <w:rsid w:val="00496C53"/>
    <w:rsid w:val="00497A62"/>
    <w:rsid w:val="00497FE9"/>
    <w:rsid w:val="004A2037"/>
    <w:rsid w:val="004A2E9B"/>
    <w:rsid w:val="004A3870"/>
    <w:rsid w:val="004A44F1"/>
    <w:rsid w:val="004A583E"/>
    <w:rsid w:val="004B0EC3"/>
    <w:rsid w:val="004B63D9"/>
    <w:rsid w:val="004B777D"/>
    <w:rsid w:val="004C06B5"/>
    <w:rsid w:val="004C0DFC"/>
    <w:rsid w:val="004C2CE7"/>
    <w:rsid w:val="004C4CCD"/>
    <w:rsid w:val="004C644D"/>
    <w:rsid w:val="004C7338"/>
    <w:rsid w:val="004D33F3"/>
    <w:rsid w:val="004D37D6"/>
    <w:rsid w:val="004D6C41"/>
    <w:rsid w:val="004E2060"/>
    <w:rsid w:val="004E21DE"/>
    <w:rsid w:val="004E2ABC"/>
    <w:rsid w:val="004E4151"/>
    <w:rsid w:val="004E730E"/>
    <w:rsid w:val="004F2192"/>
    <w:rsid w:val="004F2193"/>
    <w:rsid w:val="004F45FE"/>
    <w:rsid w:val="004F4F98"/>
    <w:rsid w:val="004F508D"/>
    <w:rsid w:val="004F69F6"/>
    <w:rsid w:val="004F79AC"/>
    <w:rsid w:val="005017CF"/>
    <w:rsid w:val="00505990"/>
    <w:rsid w:val="00505AC5"/>
    <w:rsid w:val="005071E5"/>
    <w:rsid w:val="00510AF4"/>
    <w:rsid w:val="00514AAF"/>
    <w:rsid w:val="00517922"/>
    <w:rsid w:val="00517EFC"/>
    <w:rsid w:val="005207D8"/>
    <w:rsid w:val="00522136"/>
    <w:rsid w:val="00522449"/>
    <w:rsid w:val="005251A4"/>
    <w:rsid w:val="00531AC3"/>
    <w:rsid w:val="005326D5"/>
    <w:rsid w:val="005332F4"/>
    <w:rsid w:val="005345AA"/>
    <w:rsid w:val="0053464E"/>
    <w:rsid w:val="00537C7B"/>
    <w:rsid w:val="0054272D"/>
    <w:rsid w:val="005443E8"/>
    <w:rsid w:val="0054759D"/>
    <w:rsid w:val="00547C95"/>
    <w:rsid w:val="00550E3D"/>
    <w:rsid w:val="00551114"/>
    <w:rsid w:val="00552C29"/>
    <w:rsid w:val="00554E43"/>
    <w:rsid w:val="0055568B"/>
    <w:rsid w:val="005561C3"/>
    <w:rsid w:val="00556661"/>
    <w:rsid w:val="00556B80"/>
    <w:rsid w:val="00557BBF"/>
    <w:rsid w:val="00562917"/>
    <w:rsid w:val="00562FEA"/>
    <w:rsid w:val="0056409D"/>
    <w:rsid w:val="0057455F"/>
    <w:rsid w:val="0057615C"/>
    <w:rsid w:val="00577DD7"/>
    <w:rsid w:val="00577FE1"/>
    <w:rsid w:val="0058277D"/>
    <w:rsid w:val="00585B00"/>
    <w:rsid w:val="00586228"/>
    <w:rsid w:val="005A1D97"/>
    <w:rsid w:val="005A58F3"/>
    <w:rsid w:val="005B2BB4"/>
    <w:rsid w:val="005B3394"/>
    <w:rsid w:val="005B6AF4"/>
    <w:rsid w:val="005B7A73"/>
    <w:rsid w:val="005C04CB"/>
    <w:rsid w:val="005C33F0"/>
    <w:rsid w:val="005C552F"/>
    <w:rsid w:val="005C6049"/>
    <w:rsid w:val="005C6FFB"/>
    <w:rsid w:val="005D1598"/>
    <w:rsid w:val="005D16AD"/>
    <w:rsid w:val="005D1B37"/>
    <w:rsid w:val="005D3CCA"/>
    <w:rsid w:val="005D63C8"/>
    <w:rsid w:val="005D72E1"/>
    <w:rsid w:val="005E150C"/>
    <w:rsid w:val="005E2C43"/>
    <w:rsid w:val="005E3364"/>
    <w:rsid w:val="005E3BF3"/>
    <w:rsid w:val="005E6E16"/>
    <w:rsid w:val="005F0223"/>
    <w:rsid w:val="005F022B"/>
    <w:rsid w:val="005F034D"/>
    <w:rsid w:val="005F0BF4"/>
    <w:rsid w:val="005F0D5E"/>
    <w:rsid w:val="005F1D88"/>
    <w:rsid w:val="005F221D"/>
    <w:rsid w:val="005F2522"/>
    <w:rsid w:val="005F3F22"/>
    <w:rsid w:val="005F400E"/>
    <w:rsid w:val="005F5C7D"/>
    <w:rsid w:val="005F6A5B"/>
    <w:rsid w:val="005F7342"/>
    <w:rsid w:val="005F7B13"/>
    <w:rsid w:val="00600A07"/>
    <w:rsid w:val="00603778"/>
    <w:rsid w:val="00603A08"/>
    <w:rsid w:val="0060683F"/>
    <w:rsid w:val="00610A3C"/>
    <w:rsid w:val="00613B8A"/>
    <w:rsid w:val="00615612"/>
    <w:rsid w:val="00616238"/>
    <w:rsid w:val="00616D76"/>
    <w:rsid w:val="006176FC"/>
    <w:rsid w:val="00627191"/>
    <w:rsid w:val="00627EA1"/>
    <w:rsid w:val="00627F48"/>
    <w:rsid w:val="00630C23"/>
    <w:rsid w:val="006330CE"/>
    <w:rsid w:val="00633B73"/>
    <w:rsid w:val="006359E9"/>
    <w:rsid w:val="00640C6C"/>
    <w:rsid w:val="00640C77"/>
    <w:rsid w:val="00642DBD"/>
    <w:rsid w:val="00644504"/>
    <w:rsid w:val="006460AB"/>
    <w:rsid w:val="00650AA6"/>
    <w:rsid w:val="00650ED1"/>
    <w:rsid w:val="006510A9"/>
    <w:rsid w:val="00651C87"/>
    <w:rsid w:val="00652372"/>
    <w:rsid w:val="0065324B"/>
    <w:rsid w:val="0065574F"/>
    <w:rsid w:val="00656417"/>
    <w:rsid w:val="0065740D"/>
    <w:rsid w:val="00661B10"/>
    <w:rsid w:val="00661CF6"/>
    <w:rsid w:val="00661DFB"/>
    <w:rsid w:val="00662E7B"/>
    <w:rsid w:val="00663045"/>
    <w:rsid w:val="006638A5"/>
    <w:rsid w:val="00663FCF"/>
    <w:rsid w:val="006652A2"/>
    <w:rsid w:val="00665E22"/>
    <w:rsid w:val="00672250"/>
    <w:rsid w:val="00672EC8"/>
    <w:rsid w:val="00676F26"/>
    <w:rsid w:val="006814C9"/>
    <w:rsid w:val="006818F2"/>
    <w:rsid w:val="006859D6"/>
    <w:rsid w:val="0068669A"/>
    <w:rsid w:val="00686B55"/>
    <w:rsid w:val="00687937"/>
    <w:rsid w:val="00690206"/>
    <w:rsid w:val="00691270"/>
    <w:rsid w:val="00692DFF"/>
    <w:rsid w:val="0069360D"/>
    <w:rsid w:val="006937FF"/>
    <w:rsid w:val="00693870"/>
    <w:rsid w:val="00694FC9"/>
    <w:rsid w:val="006A132A"/>
    <w:rsid w:val="006A2E22"/>
    <w:rsid w:val="006A48A7"/>
    <w:rsid w:val="006A768B"/>
    <w:rsid w:val="006B00F9"/>
    <w:rsid w:val="006B0595"/>
    <w:rsid w:val="006B4BA1"/>
    <w:rsid w:val="006B5EBE"/>
    <w:rsid w:val="006B6108"/>
    <w:rsid w:val="006B64E9"/>
    <w:rsid w:val="006C1F7F"/>
    <w:rsid w:val="006C2320"/>
    <w:rsid w:val="006C25FE"/>
    <w:rsid w:val="006C5CF5"/>
    <w:rsid w:val="006D011E"/>
    <w:rsid w:val="006D26DC"/>
    <w:rsid w:val="006D5CF7"/>
    <w:rsid w:val="006D6C8E"/>
    <w:rsid w:val="006E7841"/>
    <w:rsid w:val="006F012D"/>
    <w:rsid w:val="006F4A82"/>
    <w:rsid w:val="006F60FC"/>
    <w:rsid w:val="00700BEA"/>
    <w:rsid w:val="0070373B"/>
    <w:rsid w:val="00703F32"/>
    <w:rsid w:val="007047B8"/>
    <w:rsid w:val="00704D7B"/>
    <w:rsid w:val="007100EB"/>
    <w:rsid w:val="0071305C"/>
    <w:rsid w:val="007139C4"/>
    <w:rsid w:val="007142EC"/>
    <w:rsid w:val="0071508C"/>
    <w:rsid w:val="007159D8"/>
    <w:rsid w:val="00716BC6"/>
    <w:rsid w:val="00720214"/>
    <w:rsid w:val="007207E9"/>
    <w:rsid w:val="0072301D"/>
    <w:rsid w:val="0072423A"/>
    <w:rsid w:val="00724889"/>
    <w:rsid w:val="00724FA4"/>
    <w:rsid w:val="007259A1"/>
    <w:rsid w:val="007263BE"/>
    <w:rsid w:val="00730024"/>
    <w:rsid w:val="00730584"/>
    <w:rsid w:val="00730800"/>
    <w:rsid w:val="00734359"/>
    <w:rsid w:val="00735F71"/>
    <w:rsid w:val="0073651F"/>
    <w:rsid w:val="0074388F"/>
    <w:rsid w:val="00747D8C"/>
    <w:rsid w:val="0075130A"/>
    <w:rsid w:val="007514AA"/>
    <w:rsid w:val="00752EB4"/>
    <w:rsid w:val="00756F47"/>
    <w:rsid w:val="007572A9"/>
    <w:rsid w:val="00757375"/>
    <w:rsid w:val="00757F01"/>
    <w:rsid w:val="007602AA"/>
    <w:rsid w:val="00760F3A"/>
    <w:rsid w:val="00761903"/>
    <w:rsid w:val="00761CF0"/>
    <w:rsid w:val="00761F0B"/>
    <w:rsid w:val="00764218"/>
    <w:rsid w:val="007652EF"/>
    <w:rsid w:val="00767225"/>
    <w:rsid w:val="00770AE0"/>
    <w:rsid w:val="00772BDC"/>
    <w:rsid w:val="00774F02"/>
    <w:rsid w:val="00776BE9"/>
    <w:rsid w:val="00777538"/>
    <w:rsid w:val="007804EA"/>
    <w:rsid w:val="00780792"/>
    <w:rsid w:val="007846A2"/>
    <w:rsid w:val="00785050"/>
    <w:rsid w:val="00785459"/>
    <w:rsid w:val="007904EC"/>
    <w:rsid w:val="007907C0"/>
    <w:rsid w:val="0079127D"/>
    <w:rsid w:val="0079411F"/>
    <w:rsid w:val="00796562"/>
    <w:rsid w:val="007967C7"/>
    <w:rsid w:val="007A04CF"/>
    <w:rsid w:val="007A39E8"/>
    <w:rsid w:val="007A3B39"/>
    <w:rsid w:val="007A3CC6"/>
    <w:rsid w:val="007A4051"/>
    <w:rsid w:val="007A44B4"/>
    <w:rsid w:val="007A57FC"/>
    <w:rsid w:val="007A7D3D"/>
    <w:rsid w:val="007B1854"/>
    <w:rsid w:val="007B225D"/>
    <w:rsid w:val="007B3858"/>
    <w:rsid w:val="007B4445"/>
    <w:rsid w:val="007B4D09"/>
    <w:rsid w:val="007C0171"/>
    <w:rsid w:val="007C174F"/>
    <w:rsid w:val="007C1C64"/>
    <w:rsid w:val="007C53AD"/>
    <w:rsid w:val="007C7FB1"/>
    <w:rsid w:val="007D03EA"/>
    <w:rsid w:val="007D393F"/>
    <w:rsid w:val="007D4DE3"/>
    <w:rsid w:val="007D6A40"/>
    <w:rsid w:val="007D708E"/>
    <w:rsid w:val="007E2638"/>
    <w:rsid w:val="007E31BD"/>
    <w:rsid w:val="007E48BC"/>
    <w:rsid w:val="007E608A"/>
    <w:rsid w:val="007E6F98"/>
    <w:rsid w:val="007E79F7"/>
    <w:rsid w:val="007F156B"/>
    <w:rsid w:val="007F1D4D"/>
    <w:rsid w:val="007F3630"/>
    <w:rsid w:val="007F604C"/>
    <w:rsid w:val="007F7C04"/>
    <w:rsid w:val="00801784"/>
    <w:rsid w:val="00801803"/>
    <w:rsid w:val="00802EE2"/>
    <w:rsid w:val="00807559"/>
    <w:rsid w:val="00816B58"/>
    <w:rsid w:val="008213D2"/>
    <w:rsid w:val="00821C0E"/>
    <w:rsid w:val="008250F0"/>
    <w:rsid w:val="00831C4D"/>
    <w:rsid w:val="008342CD"/>
    <w:rsid w:val="00840186"/>
    <w:rsid w:val="00840542"/>
    <w:rsid w:val="0084428C"/>
    <w:rsid w:val="008450BC"/>
    <w:rsid w:val="008451D2"/>
    <w:rsid w:val="008508FC"/>
    <w:rsid w:val="00852697"/>
    <w:rsid w:val="0085334B"/>
    <w:rsid w:val="0086425C"/>
    <w:rsid w:val="008648F7"/>
    <w:rsid w:val="008651BF"/>
    <w:rsid w:val="008662BB"/>
    <w:rsid w:val="00870214"/>
    <w:rsid w:val="00872C63"/>
    <w:rsid w:val="0087368F"/>
    <w:rsid w:val="00876F6B"/>
    <w:rsid w:val="00882FF2"/>
    <w:rsid w:val="008834B1"/>
    <w:rsid w:val="00885C51"/>
    <w:rsid w:val="00885EB0"/>
    <w:rsid w:val="00886CEF"/>
    <w:rsid w:val="00891F4B"/>
    <w:rsid w:val="0089264A"/>
    <w:rsid w:val="008950F8"/>
    <w:rsid w:val="00895634"/>
    <w:rsid w:val="00896B85"/>
    <w:rsid w:val="008A22BE"/>
    <w:rsid w:val="008A46D5"/>
    <w:rsid w:val="008A56B3"/>
    <w:rsid w:val="008B2D8A"/>
    <w:rsid w:val="008B36B0"/>
    <w:rsid w:val="008B3962"/>
    <w:rsid w:val="008B4596"/>
    <w:rsid w:val="008B4664"/>
    <w:rsid w:val="008C1A60"/>
    <w:rsid w:val="008C1B36"/>
    <w:rsid w:val="008C5904"/>
    <w:rsid w:val="008C7B55"/>
    <w:rsid w:val="008D0084"/>
    <w:rsid w:val="008D06C6"/>
    <w:rsid w:val="008D16C4"/>
    <w:rsid w:val="008D22FA"/>
    <w:rsid w:val="008D2E09"/>
    <w:rsid w:val="008D5293"/>
    <w:rsid w:val="008D7C77"/>
    <w:rsid w:val="008E0080"/>
    <w:rsid w:val="008E6250"/>
    <w:rsid w:val="008F0779"/>
    <w:rsid w:val="008F791C"/>
    <w:rsid w:val="00902AF6"/>
    <w:rsid w:val="00902B5C"/>
    <w:rsid w:val="00911862"/>
    <w:rsid w:val="00912847"/>
    <w:rsid w:val="00912AD0"/>
    <w:rsid w:val="009169AD"/>
    <w:rsid w:val="00920249"/>
    <w:rsid w:val="00923B2F"/>
    <w:rsid w:val="00924C80"/>
    <w:rsid w:val="00926D01"/>
    <w:rsid w:val="00927253"/>
    <w:rsid w:val="00932F14"/>
    <w:rsid w:val="00937651"/>
    <w:rsid w:val="00940AC2"/>
    <w:rsid w:val="0094247F"/>
    <w:rsid w:val="00942D60"/>
    <w:rsid w:val="00943001"/>
    <w:rsid w:val="00947B67"/>
    <w:rsid w:val="009503E1"/>
    <w:rsid w:val="009533AF"/>
    <w:rsid w:val="0096523B"/>
    <w:rsid w:val="00966EE3"/>
    <w:rsid w:val="00970CFA"/>
    <w:rsid w:val="00971352"/>
    <w:rsid w:val="00971898"/>
    <w:rsid w:val="00972D06"/>
    <w:rsid w:val="00975085"/>
    <w:rsid w:val="0097547C"/>
    <w:rsid w:val="00975AAB"/>
    <w:rsid w:val="00976B59"/>
    <w:rsid w:val="00977812"/>
    <w:rsid w:val="009823B2"/>
    <w:rsid w:val="00982474"/>
    <w:rsid w:val="0098263D"/>
    <w:rsid w:val="0098487D"/>
    <w:rsid w:val="0098537B"/>
    <w:rsid w:val="009856AD"/>
    <w:rsid w:val="00985DD0"/>
    <w:rsid w:val="00987CC1"/>
    <w:rsid w:val="00987E59"/>
    <w:rsid w:val="00991334"/>
    <w:rsid w:val="009925D0"/>
    <w:rsid w:val="00995842"/>
    <w:rsid w:val="00997F43"/>
    <w:rsid w:val="009A148B"/>
    <w:rsid w:val="009A3108"/>
    <w:rsid w:val="009A391C"/>
    <w:rsid w:val="009A50F2"/>
    <w:rsid w:val="009A6EB7"/>
    <w:rsid w:val="009B229A"/>
    <w:rsid w:val="009B2805"/>
    <w:rsid w:val="009C2F65"/>
    <w:rsid w:val="009C5D04"/>
    <w:rsid w:val="009C7293"/>
    <w:rsid w:val="009C7C03"/>
    <w:rsid w:val="009D15CF"/>
    <w:rsid w:val="009D1F6E"/>
    <w:rsid w:val="009D4143"/>
    <w:rsid w:val="009D4E6D"/>
    <w:rsid w:val="009E0576"/>
    <w:rsid w:val="009E0A61"/>
    <w:rsid w:val="009E3010"/>
    <w:rsid w:val="009F007E"/>
    <w:rsid w:val="009F1176"/>
    <w:rsid w:val="009F288E"/>
    <w:rsid w:val="009F7065"/>
    <w:rsid w:val="009F76B5"/>
    <w:rsid w:val="00A056B4"/>
    <w:rsid w:val="00A067E4"/>
    <w:rsid w:val="00A0751B"/>
    <w:rsid w:val="00A077AF"/>
    <w:rsid w:val="00A10534"/>
    <w:rsid w:val="00A10F1A"/>
    <w:rsid w:val="00A11419"/>
    <w:rsid w:val="00A11A4F"/>
    <w:rsid w:val="00A147EB"/>
    <w:rsid w:val="00A152D1"/>
    <w:rsid w:val="00A17FB1"/>
    <w:rsid w:val="00A202A2"/>
    <w:rsid w:val="00A27C01"/>
    <w:rsid w:val="00A30707"/>
    <w:rsid w:val="00A316EA"/>
    <w:rsid w:val="00A32156"/>
    <w:rsid w:val="00A346E6"/>
    <w:rsid w:val="00A35EC6"/>
    <w:rsid w:val="00A367DF"/>
    <w:rsid w:val="00A4175D"/>
    <w:rsid w:val="00A44CAA"/>
    <w:rsid w:val="00A4525C"/>
    <w:rsid w:val="00A47DE4"/>
    <w:rsid w:val="00A5055F"/>
    <w:rsid w:val="00A5378B"/>
    <w:rsid w:val="00A54151"/>
    <w:rsid w:val="00A56DC7"/>
    <w:rsid w:val="00A57299"/>
    <w:rsid w:val="00A60797"/>
    <w:rsid w:val="00A60AE1"/>
    <w:rsid w:val="00A63653"/>
    <w:rsid w:val="00A65174"/>
    <w:rsid w:val="00A70443"/>
    <w:rsid w:val="00A70ED2"/>
    <w:rsid w:val="00A71AF5"/>
    <w:rsid w:val="00A72416"/>
    <w:rsid w:val="00A74FD1"/>
    <w:rsid w:val="00A77BFA"/>
    <w:rsid w:val="00A77EF5"/>
    <w:rsid w:val="00A8082B"/>
    <w:rsid w:val="00A84A58"/>
    <w:rsid w:val="00A84C67"/>
    <w:rsid w:val="00A8742B"/>
    <w:rsid w:val="00A92002"/>
    <w:rsid w:val="00A92487"/>
    <w:rsid w:val="00A924F6"/>
    <w:rsid w:val="00A930EA"/>
    <w:rsid w:val="00A93FBB"/>
    <w:rsid w:val="00A97AD5"/>
    <w:rsid w:val="00AA19C3"/>
    <w:rsid w:val="00AA21E0"/>
    <w:rsid w:val="00AA7751"/>
    <w:rsid w:val="00AA78CC"/>
    <w:rsid w:val="00AB0F14"/>
    <w:rsid w:val="00AB1301"/>
    <w:rsid w:val="00AB2C85"/>
    <w:rsid w:val="00AB47E7"/>
    <w:rsid w:val="00AB53D4"/>
    <w:rsid w:val="00AC39B3"/>
    <w:rsid w:val="00AD1642"/>
    <w:rsid w:val="00AD57EE"/>
    <w:rsid w:val="00AD6D33"/>
    <w:rsid w:val="00AD6F84"/>
    <w:rsid w:val="00AE0059"/>
    <w:rsid w:val="00AE46A8"/>
    <w:rsid w:val="00AF0509"/>
    <w:rsid w:val="00AF06FC"/>
    <w:rsid w:val="00AF3391"/>
    <w:rsid w:val="00AF387F"/>
    <w:rsid w:val="00AF4AD0"/>
    <w:rsid w:val="00AF6B73"/>
    <w:rsid w:val="00AF723B"/>
    <w:rsid w:val="00B00515"/>
    <w:rsid w:val="00B00E7F"/>
    <w:rsid w:val="00B02FD7"/>
    <w:rsid w:val="00B037F5"/>
    <w:rsid w:val="00B07110"/>
    <w:rsid w:val="00B07897"/>
    <w:rsid w:val="00B102F1"/>
    <w:rsid w:val="00B12F1E"/>
    <w:rsid w:val="00B173DA"/>
    <w:rsid w:val="00B21359"/>
    <w:rsid w:val="00B21DCC"/>
    <w:rsid w:val="00B25F37"/>
    <w:rsid w:val="00B30E51"/>
    <w:rsid w:val="00B32A07"/>
    <w:rsid w:val="00B3442C"/>
    <w:rsid w:val="00B350F2"/>
    <w:rsid w:val="00B37BF0"/>
    <w:rsid w:val="00B44422"/>
    <w:rsid w:val="00B46AA7"/>
    <w:rsid w:val="00B46EA0"/>
    <w:rsid w:val="00B47E60"/>
    <w:rsid w:val="00B629D5"/>
    <w:rsid w:val="00B646A1"/>
    <w:rsid w:val="00B64DD3"/>
    <w:rsid w:val="00B703B5"/>
    <w:rsid w:val="00B710CD"/>
    <w:rsid w:val="00B731D3"/>
    <w:rsid w:val="00B74CA6"/>
    <w:rsid w:val="00B777F5"/>
    <w:rsid w:val="00B8062E"/>
    <w:rsid w:val="00B828B9"/>
    <w:rsid w:val="00B82B49"/>
    <w:rsid w:val="00B832DD"/>
    <w:rsid w:val="00B833B0"/>
    <w:rsid w:val="00B839A3"/>
    <w:rsid w:val="00B84361"/>
    <w:rsid w:val="00B84BB0"/>
    <w:rsid w:val="00B869F5"/>
    <w:rsid w:val="00B87E23"/>
    <w:rsid w:val="00B902BD"/>
    <w:rsid w:val="00B90758"/>
    <w:rsid w:val="00B90B14"/>
    <w:rsid w:val="00B91C6F"/>
    <w:rsid w:val="00B91C91"/>
    <w:rsid w:val="00B949F0"/>
    <w:rsid w:val="00B960BA"/>
    <w:rsid w:val="00B9635E"/>
    <w:rsid w:val="00BA159A"/>
    <w:rsid w:val="00BA24E2"/>
    <w:rsid w:val="00BA691F"/>
    <w:rsid w:val="00BB0443"/>
    <w:rsid w:val="00BB7B03"/>
    <w:rsid w:val="00BC4A7E"/>
    <w:rsid w:val="00BD180E"/>
    <w:rsid w:val="00BD1B7A"/>
    <w:rsid w:val="00BD2A39"/>
    <w:rsid w:val="00BD2E80"/>
    <w:rsid w:val="00BD59CB"/>
    <w:rsid w:val="00BE11B8"/>
    <w:rsid w:val="00BE5643"/>
    <w:rsid w:val="00BF02F4"/>
    <w:rsid w:val="00BF19EF"/>
    <w:rsid w:val="00BF4C28"/>
    <w:rsid w:val="00BF5CD9"/>
    <w:rsid w:val="00BF6956"/>
    <w:rsid w:val="00BF7FF0"/>
    <w:rsid w:val="00C04610"/>
    <w:rsid w:val="00C057F4"/>
    <w:rsid w:val="00C06675"/>
    <w:rsid w:val="00C076F6"/>
    <w:rsid w:val="00C116A1"/>
    <w:rsid w:val="00C12502"/>
    <w:rsid w:val="00C148F5"/>
    <w:rsid w:val="00C15A6C"/>
    <w:rsid w:val="00C15D5E"/>
    <w:rsid w:val="00C1685F"/>
    <w:rsid w:val="00C1733F"/>
    <w:rsid w:val="00C215A9"/>
    <w:rsid w:val="00C24308"/>
    <w:rsid w:val="00C2498E"/>
    <w:rsid w:val="00C30CA1"/>
    <w:rsid w:val="00C310A8"/>
    <w:rsid w:val="00C363B2"/>
    <w:rsid w:val="00C36578"/>
    <w:rsid w:val="00C37054"/>
    <w:rsid w:val="00C40AA5"/>
    <w:rsid w:val="00C46F70"/>
    <w:rsid w:val="00C476D0"/>
    <w:rsid w:val="00C4772F"/>
    <w:rsid w:val="00C53C06"/>
    <w:rsid w:val="00C55104"/>
    <w:rsid w:val="00C61AC1"/>
    <w:rsid w:val="00C647F1"/>
    <w:rsid w:val="00C7132C"/>
    <w:rsid w:val="00C71F2E"/>
    <w:rsid w:val="00C73EFE"/>
    <w:rsid w:val="00C768FC"/>
    <w:rsid w:val="00C76BC6"/>
    <w:rsid w:val="00C76D44"/>
    <w:rsid w:val="00C77E24"/>
    <w:rsid w:val="00C77E95"/>
    <w:rsid w:val="00C821E0"/>
    <w:rsid w:val="00C82692"/>
    <w:rsid w:val="00C836E3"/>
    <w:rsid w:val="00C86577"/>
    <w:rsid w:val="00C866E0"/>
    <w:rsid w:val="00C9197F"/>
    <w:rsid w:val="00C92406"/>
    <w:rsid w:val="00C92E07"/>
    <w:rsid w:val="00C93CCD"/>
    <w:rsid w:val="00C94209"/>
    <w:rsid w:val="00C96868"/>
    <w:rsid w:val="00C96F33"/>
    <w:rsid w:val="00CA0416"/>
    <w:rsid w:val="00CA3849"/>
    <w:rsid w:val="00CA3967"/>
    <w:rsid w:val="00CA641D"/>
    <w:rsid w:val="00CA7E52"/>
    <w:rsid w:val="00CB1B2B"/>
    <w:rsid w:val="00CB386B"/>
    <w:rsid w:val="00CB4F25"/>
    <w:rsid w:val="00CC00DD"/>
    <w:rsid w:val="00CC022B"/>
    <w:rsid w:val="00CC560B"/>
    <w:rsid w:val="00CC71B8"/>
    <w:rsid w:val="00CC75E2"/>
    <w:rsid w:val="00CC7934"/>
    <w:rsid w:val="00CD071A"/>
    <w:rsid w:val="00CD0EE8"/>
    <w:rsid w:val="00CD46EB"/>
    <w:rsid w:val="00CD6965"/>
    <w:rsid w:val="00CD6DD3"/>
    <w:rsid w:val="00CD6EAE"/>
    <w:rsid w:val="00CD7B5F"/>
    <w:rsid w:val="00CD7EBF"/>
    <w:rsid w:val="00CE059E"/>
    <w:rsid w:val="00CE09F2"/>
    <w:rsid w:val="00CE61DE"/>
    <w:rsid w:val="00CE6C16"/>
    <w:rsid w:val="00CE7D5F"/>
    <w:rsid w:val="00CE7FBA"/>
    <w:rsid w:val="00CF1E6E"/>
    <w:rsid w:val="00CF1F2A"/>
    <w:rsid w:val="00CF702C"/>
    <w:rsid w:val="00CF7479"/>
    <w:rsid w:val="00CF7991"/>
    <w:rsid w:val="00D0026B"/>
    <w:rsid w:val="00D0073A"/>
    <w:rsid w:val="00D029A4"/>
    <w:rsid w:val="00D056F1"/>
    <w:rsid w:val="00D05F37"/>
    <w:rsid w:val="00D07D3F"/>
    <w:rsid w:val="00D11171"/>
    <w:rsid w:val="00D1572E"/>
    <w:rsid w:val="00D15A2C"/>
    <w:rsid w:val="00D168FF"/>
    <w:rsid w:val="00D16BA9"/>
    <w:rsid w:val="00D22A1A"/>
    <w:rsid w:val="00D22F3C"/>
    <w:rsid w:val="00D22F50"/>
    <w:rsid w:val="00D23DB6"/>
    <w:rsid w:val="00D243C1"/>
    <w:rsid w:val="00D25759"/>
    <w:rsid w:val="00D25830"/>
    <w:rsid w:val="00D27155"/>
    <w:rsid w:val="00D31406"/>
    <w:rsid w:val="00D35BA6"/>
    <w:rsid w:val="00D361EC"/>
    <w:rsid w:val="00D36531"/>
    <w:rsid w:val="00D4020F"/>
    <w:rsid w:val="00D40F6D"/>
    <w:rsid w:val="00D410BF"/>
    <w:rsid w:val="00D41429"/>
    <w:rsid w:val="00D418ED"/>
    <w:rsid w:val="00D41CB3"/>
    <w:rsid w:val="00D43F9D"/>
    <w:rsid w:val="00D43FE6"/>
    <w:rsid w:val="00D4456E"/>
    <w:rsid w:val="00D449B3"/>
    <w:rsid w:val="00D50633"/>
    <w:rsid w:val="00D51A95"/>
    <w:rsid w:val="00D51D98"/>
    <w:rsid w:val="00D571E9"/>
    <w:rsid w:val="00D60568"/>
    <w:rsid w:val="00D60713"/>
    <w:rsid w:val="00D617AF"/>
    <w:rsid w:val="00D62033"/>
    <w:rsid w:val="00D626CA"/>
    <w:rsid w:val="00D67288"/>
    <w:rsid w:val="00D70C7A"/>
    <w:rsid w:val="00D810D3"/>
    <w:rsid w:val="00D81B3C"/>
    <w:rsid w:val="00D81D38"/>
    <w:rsid w:val="00D82516"/>
    <w:rsid w:val="00D83746"/>
    <w:rsid w:val="00D838D3"/>
    <w:rsid w:val="00D8467D"/>
    <w:rsid w:val="00D85D91"/>
    <w:rsid w:val="00D85DE9"/>
    <w:rsid w:val="00D861A5"/>
    <w:rsid w:val="00D8785A"/>
    <w:rsid w:val="00D934C6"/>
    <w:rsid w:val="00D954F1"/>
    <w:rsid w:val="00D9620E"/>
    <w:rsid w:val="00DA07F7"/>
    <w:rsid w:val="00DA085B"/>
    <w:rsid w:val="00DA10A8"/>
    <w:rsid w:val="00DA2062"/>
    <w:rsid w:val="00DA51B9"/>
    <w:rsid w:val="00DA5D10"/>
    <w:rsid w:val="00DB15BB"/>
    <w:rsid w:val="00DB1E08"/>
    <w:rsid w:val="00DB2973"/>
    <w:rsid w:val="00DB3B24"/>
    <w:rsid w:val="00DC1B56"/>
    <w:rsid w:val="00DC2129"/>
    <w:rsid w:val="00DC38A5"/>
    <w:rsid w:val="00DC6570"/>
    <w:rsid w:val="00DC6E79"/>
    <w:rsid w:val="00DC7731"/>
    <w:rsid w:val="00DD189E"/>
    <w:rsid w:val="00DD37FE"/>
    <w:rsid w:val="00DD3C5E"/>
    <w:rsid w:val="00DD455C"/>
    <w:rsid w:val="00DD6757"/>
    <w:rsid w:val="00DE224D"/>
    <w:rsid w:val="00DE26C6"/>
    <w:rsid w:val="00DE377C"/>
    <w:rsid w:val="00DE62AF"/>
    <w:rsid w:val="00DE6809"/>
    <w:rsid w:val="00DE694B"/>
    <w:rsid w:val="00DE7C11"/>
    <w:rsid w:val="00DF0C0F"/>
    <w:rsid w:val="00DF25C3"/>
    <w:rsid w:val="00DF2F14"/>
    <w:rsid w:val="00DF47D6"/>
    <w:rsid w:val="00DF5289"/>
    <w:rsid w:val="00DF7EC0"/>
    <w:rsid w:val="00E001A9"/>
    <w:rsid w:val="00E027CA"/>
    <w:rsid w:val="00E04062"/>
    <w:rsid w:val="00E043B8"/>
    <w:rsid w:val="00E04AC6"/>
    <w:rsid w:val="00E063C6"/>
    <w:rsid w:val="00E066BA"/>
    <w:rsid w:val="00E06BC2"/>
    <w:rsid w:val="00E07327"/>
    <w:rsid w:val="00E07A08"/>
    <w:rsid w:val="00E12BE6"/>
    <w:rsid w:val="00E13522"/>
    <w:rsid w:val="00E14658"/>
    <w:rsid w:val="00E2003B"/>
    <w:rsid w:val="00E203C2"/>
    <w:rsid w:val="00E22525"/>
    <w:rsid w:val="00E279D8"/>
    <w:rsid w:val="00E3011E"/>
    <w:rsid w:val="00E307BD"/>
    <w:rsid w:val="00E30F13"/>
    <w:rsid w:val="00E319B1"/>
    <w:rsid w:val="00E32418"/>
    <w:rsid w:val="00E40B03"/>
    <w:rsid w:val="00E421B0"/>
    <w:rsid w:val="00E4237E"/>
    <w:rsid w:val="00E44E0D"/>
    <w:rsid w:val="00E46197"/>
    <w:rsid w:val="00E50741"/>
    <w:rsid w:val="00E521C3"/>
    <w:rsid w:val="00E523E8"/>
    <w:rsid w:val="00E53537"/>
    <w:rsid w:val="00E5492F"/>
    <w:rsid w:val="00E56323"/>
    <w:rsid w:val="00E56D89"/>
    <w:rsid w:val="00E57FB4"/>
    <w:rsid w:val="00E60FB7"/>
    <w:rsid w:val="00E61992"/>
    <w:rsid w:val="00E62BF1"/>
    <w:rsid w:val="00E62D4D"/>
    <w:rsid w:val="00E62DEF"/>
    <w:rsid w:val="00E70A86"/>
    <w:rsid w:val="00E777EC"/>
    <w:rsid w:val="00E80FCD"/>
    <w:rsid w:val="00E84109"/>
    <w:rsid w:val="00E87F29"/>
    <w:rsid w:val="00E907B8"/>
    <w:rsid w:val="00E91AED"/>
    <w:rsid w:val="00E92F1B"/>
    <w:rsid w:val="00E96E59"/>
    <w:rsid w:val="00E97484"/>
    <w:rsid w:val="00EA3F0A"/>
    <w:rsid w:val="00EA4300"/>
    <w:rsid w:val="00EA702B"/>
    <w:rsid w:val="00EA7F2F"/>
    <w:rsid w:val="00EB429D"/>
    <w:rsid w:val="00EB5CF3"/>
    <w:rsid w:val="00EC00DE"/>
    <w:rsid w:val="00EC30E1"/>
    <w:rsid w:val="00EC3920"/>
    <w:rsid w:val="00ED0B9B"/>
    <w:rsid w:val="00ED172A"/>
    <w:rsid w:val="00ED1F66"/>
    <w:rsid w:val="00ED4EF4"/>
    <w:rsid w:val="00ED51B6"/>
    <w:rsid w:val="00ED5511"/>
    <w:rsid w:val="00EE3D37"/>
    <w:rsid w:val="00EE7A64"/>
    <w:rsid w:val="00EF1CC2"/>
    <w:rsid w:val="00EF32AE"/>
    <w:rsid w:val="00EF5E0F"/>
    <w:rsid w:val="00EF6823"/>
    <w:rsid w:val="00EF73D9"/>
    <w:rsid w:val="00EF7C98"/>
    <w:rsid w:val="00F00306"/>
    <w:rsid w:val="00F00B9A"/>
    <w:rsid w:val="00F05029"/>
    <w:rsid w:val="00F053D3"/>
    <w:rsid w:val="00F0620D"/>
    <w:rsid w:val="00F06AB9"/>
    <w:rsid w:val="00F077FF"/>
    <w:rsid w:val="00F11F6C"/>
    <w:rsid w:val="00F143C0"/>
    <w:rsid w:val="00F14BEC"/>
    <w:rsid w:val="00F155B9"/>
    <w:rsid w:val="00F16E53"/>
    <w:rsid w:val="00F17143"/>
    <w:rsid w:val="00F225C5"/>
    <w:rsid w:val="00F229C0"/>
    <w:rsid w:val="00F24253"/>
    <w:rsid w:val="00F25056"/>
    <w:rsid w:val="00F2587A"/>
    <w:rsid w:val="00F3033E"/>
    <w:rsid w:val="00F34404"/>
    <w:rsid w:val="00F35060"/>
    <w:rsid w:val="00F35939"/>
    <w:rsid w:val="00F359BE"/>
    <w:rsid w:val="00F360CA"/>
    <w:rsid w:val="00F3715D"/>
    <w:rsid w:val="00F4075E"/>
    <w:rsid w:val="00F40DAE"/>
    <w:rsid w:val="00F420C8"/>
    <w:rsid w:val="00F424C2"/>
    <w:rsid w:val="00F42A4C"/>
    <w:rsid w:val="00F44124"/>
    <w:rsid w:val="00F47DAE"/>
    <w:rsid w:val="00F50728"/>
    <w:rsid w:val="00F55034"/>
    <w:rsid w:val="00F55647"/>
    <w:rsid w:val="00F604DE"/>
    <w:rsid w:val="00F668D2"/>
    <w:rsid w:val="00F72A16"/>
    <w:rsid w:val="00F75F97"/>
    <w:rsid w:val="00F80D2E"/>
    <w:rsid w:val="00F87DA4"/>
    <w:rsid w:val="00F938F2"/>
    <w:rsid w:val="00F93B7A"/>
    <w:rsid w:val="00F941AD"/>
    <w:rsid w:val="00FA19A8"/>
    <w:rsid w:val="00FA225E"/>
    <w:rsid w:val="00FA5726"/>
    <w:rsid w:val="00FB07C2"/>
    <w:rsid w:val="00FB115D"/>
    <w:rsid w:val="00FB4357"/>
    <w:rsid w:val="00FB54AB"/>
    <w:rsid w:val="00FB7512"/>
    <w:rsid w:val="00FC0442"/>
    <w:rsid w:val="00FC12DC"/>
    <w:rsid w:val="00FC2ED7"/>
    <w:rsid w:val="00FC3B00"/>
    <w:rsid w:val="00FC7990"/>
    <w:rsid w:val="00FD22F2"/>
    <w:rsid w:val="00FD3738"/>
    <w:rsid w:val="00FD4FB8"/>
    <w:rsid w:val="00FD7547"/>
    <w:rsid w:val="00FE2C25"/>
    <w:rsid w:val="00FE593F"/>
    <w:rsid w:val="00FE658B"/>
    <w:rsid w:val="00FE7827"/>
    <w:rsid w:val="00FF5F5C"/>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9925D0"/>
    <w:pPr>
      <w:keepNext/>
      <w:spacing w:before="240" w:after="240"/>
      <w:ind w:left="567" w:hanging="567"/>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9925D0"/>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C77E95"/>
    <w:pPr>
      <w:spacing w:before="120" w:after="120"/>
    </w:pPr>
    <w:rPr>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 w:type="paragraph" w:styleId="Revision">
    <w:name w:val="Revision"/>
    <w:hidden/>
    <w:uiPriority w:val="99"/>
    <w:semiHidden/>
    <w:rsid w:val="00D07D3F"/>
    <w:rPr>
      <w:rFonts w:ascii="Arial" w:hAnsi="Arial"/>
      <w:sz w:val="22"/>
      <w:szCs w:val="24"/>
      <w:lang w:eastAsia="en-US" w:bidi="en-US"/>
    </w:rPr>
  </w:style>
  <w:style w:type="character" w:styleId="PlaceholderText">
    <w:name w:val="Placeholder Text"/>
    <w:basedOn w:val="DefaultParagraphFont"/>
    <w:uiPriority w:val="99"/>
    <w:semiHidden/>
    <w:rsid w:val="007513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599673056">
      <w:bodyDiv w:val="1"/>
      <w:marLeft w:val="0"/>
      <w:marRight w:val="0"/>
      <w:marTop w:val="0"/>
      <w:marBottom w:val="0"/>
      <w:divBdr>
        <w:top w:val="none" w:sz="0" w:space="0" w:color="auto"/>
        <w:left w:val="none" w:sz="0" w:space="0" w:color="auto"/>
        <w:bottom w:val="none" w:sz="0" w:space="0" w:color="auto"/>
        <w:right w:val="none" w:sz="0" w:space="0" w:color="auto"/>
      </w:divBdr>
      <w:divsChild>
        <w:div w:id="234320880">
          <w:marLeft w:val="0"/>
          <w:marRight w:val="0"/>
          <w:marTop w:val="0"/>
          <w:marBottom w:val="0"/>
          <w:divBdr>
            <w:top w:val="none" w:sz="0" w:space="0" w:color="auto"/>
            <w:left w:val="none" w:sz="0" w:space="0" w:color="auto"/>
            <w:bottom w:val="none" w:sz="0" w:space="0" w:color="auto"/>
            <w:right w:val="none" w:sz="0" w:space="0" w:color="auto"/>
          </w:divBdr>
          <w:divsChild>
            <w:div w:id="710803553">
              <w:marLeft w:val="0"/>
              <w:marRight w:val="0"/>
              <w:marTop w:val="0"/>
              <w:marBottom w:val="0"/>
              <w:divBdr>
                <w:top w:val="none" w:sz="0" w:space="0" w:color="auto"/>
                <w:left w:val="none" w:sz="0" w:space="0" w:color="auto"/>
                <w:bottom w:val="none" w:sz="0" w:space="0" w:color="auto"/>
                <w:right w:val="none" w:sz="0" w:space="0" w:color="auto"/>
              </w:divBdr>
              <w:divsChild>
                <w:div w:id="1879122317">
                  <w:marLeft w:val="0"/>
                  <w:marRight w:val="0"/>
                  <w:marTop w:val="0"/>
                  <w:marBottom w:val="0"/>
                  <w:divBdr>
                    <w:top w:val="none" w:sz="0" w:space="0" w:color="auto"/>
                    <w:left w:val="none" w:sz="0" w:space="0" w:color="auto"/>
                    <w:bottom w:val="none" w:sz="0" w:space="0" w:color="auto"/>
                    <w:right w:val="none" w:sz="0" w:space="0" w:color="auto"/>
                  </w:divBdr>
                  <w:divsChild>
                    <w:div w:id="1509366849">
                      <w:marLeft w:val="0"/>
                      <w:marRight w:val="0"/>
                      <w:marTop w:val="0"/>
                      <w:marBottom w:val="0"/>
                      <w:divBdr>
                        <w:top w:val="none" w:sz="0" w:space="0" w:color="auto"/>
                        <w:left w:val="none" w:sz="0" w:space="0" w:color="auto"/>
                        <w:bottom w:val="none" w:sz="0" w:space="0" w:color="auto"/>
                        <w:right w:val="none" w:sz="0" w:space="0" w:color="auto"/>
                      </w:divBdr>
                      <w:divsChild>
                        <w:div w:id="1003239997">
                          <w:marLeft w:val="0"/>
                          <w:marRight w:val="0"/>
                          <w:marTop w:val="0"/>
                          <w:marBottom w:val="0"/>
                          <w:divBdr>
                            <w:top w:val="none" w:sz="0" w:space="0" w:color="auto"/>
                            <w:left w:val="none" w:sz="0" w:space="0" w:color="auto"/>
                            <w:bottom w:val="none" w:sz="0" w:space="0" w:color="auto"/>
                            <w:right w:val="none" w:sz="0" w:space="0" w:color="auto"/>
                          </w:divBdr>
                          <w:divsChild>
                            <w:div w:id="1303585559">
                              <w:marLeft w:val="0"/>
                              <w:marRight w:val="0"/>
                              <w:marTop w:val="0"/>
                              <w:marBottom w:val="0"/>
                              <w:divBdr>
                                <w:top w:val="none" w:sz="0" w:space="0" w:color="auto"/>
                                <w:left w:val="none" w:sz="0" w:space="0" w:color="auto"/>
                                <w:bottom w:val="none" w:sz="0" w:space="0" w:color="auto"/>
                                <w:right w:val="none" w:sz="0" w:space="0" w:color="auto"/>
                              </w:divBdr>
                              <w:divsChild>
                                <w:div w:id="1503005982">
                                  <w:marLeft w:val="-225"/>
                                  <w:marRight w:val="-225"/>
                                  <w:marTop w:val="0"/>
                                  <w:marBottom w:val="0"/>
                                  <w:divBdr>
                                    <w:top w:val="none" w:sz="0" w:space="0" w:color="auto"/>
                                    <w:left w:val="none" w:sz="0" w:space="0" w:color="auto"/>
                                    <w:bottom w:val="none" w:sz="0" w:space="0" w:color="auto"/>
                                    <w:right w:val="none" w:sz="0" w:space="0" w:color="auto"/>
                                  </w:divBdr>
                                  <w:divsChild>
                                    <w:div w:id="65495032">
                                      <w:marLeft w:val="0"/>
                                      <w:marRight w:val="0"/>
                                      <w:marTop w:val="0"/>
                                      <w:marBottom w:val="0"/>
                                      <w:divBdr>
                                        <w:top w:val="none" w:sz="0" w:space="0" w:color="auto"/>
                                        <w:left w:val="none" w:sz="0" w:space="0" w:color="auto"/>
                                        <w:bottom w:val="none" w:sz="0" w:space="0" w:color="auto"/>
                                        <w:right w:val="none" w:sz="0" w:space="0" w:color="auto"/>
                                      </w:divBdr>
                                      <w:divsChild>
                                        <w:div w:id="1727794117">
                                          <w:marLeft w:val="0"/>
                                          <w:marRight w:val="0"/>
                                          <w:marTop w:val="0"/>
                                          <w:marBottom w:val="0"/>
                                          <w:divBdr>
                                            <w:top w:val="none" w:sz="0" w:space="0" w:color="auto"/>
                                            <w:left w:val="none" w:sz="0" w:space="0" w:color="auto"/>
                                            <w:bottom w:val="none" w:sz="0" w:space="0" w:color="auto"/>
                                            <w:right w:val="none" w:sz="0" w:space="0" w:color="auto"/>
                                          </w:divBdr>
                                          <w:divsChild>
                                            <w:div w:id="1245147060">
                                              <w:marLeft w:val="-225"/>
                                              <w:marRight w:val="-225"/>
                                              <w:marTop w:val="0"/>
                                              <w:marBottom w:val="0"/>
                                              <w:divBdr>
                                                <w:top w:val="none" w:sz="0" w:space="0" w:color="auto"/>
                                                <w:left w:val="none" w:sz="0" w:space="0" w:color="auto"/>
                                                <w:bottom w:val="none" w:sz="0" w:space="0" w:color="auto"/>
                                                <w:right w:val="none" w:sz="0" w:space="0" w:color="auto"/>
                                              </w:divBdr>
                                              <w:divsChild>
                                                <w:div w:id="251820326">
                                                  <w:marLeft w:val="0"/>
                                                  <w:marRight w:val="0"/>
                                                  <w:marTop w:val="0"/>
                                                  <w:marBottom w:val="0"/>
                                                  <w:divBdr>
                                                    <w:top w:val="none" w:sz="0" w:space="0" w:color="auto"/>
                                                    <w:left w:val="none" w:sz="0" w:space="0" w:color="auto"/>
                                                    <w:bottom w:val="none" w:sz="0" w:space="0" w:color="auto"/>
                                                    <w:right w:val="none" w:sz="0" w:space="0" w:color="auto"/>
                                                  </w:divBdr>
                                                  <w:divsChild>
                                                    <w:div w:id="1283002706">
                                                      <w:marLeft w:val="0"/>
                                                      <w:marRight w:val="0"/>
                                                      <w:marTop w:val="0"/>
                                                      <w:marBottom w:val="270"/>
                                                      <w:divBdr>
                                                        <w:top w:val="none" w:sz="0" w:space="0" w:color="auto"/>
                                                        <w:left w:val="none" w:sz="0" w:space="0" w:color="auto"/>
                                                        <w:bottom w:val="none" w:sz="0" w:space="0" w:color="auto"/>
                                                        <w:right w:val="none" w:sz="0" w:space="0" w:color="auto"/>
                                                      </w:divBdr>
                                                      <w:divsChild>
                                                        <w:div w:id="1490093352">
                                                          <w:marLeft w:val="0"/>
                                                          <w:marRight w:val="0"/>
                                                          <w:marTop w:val="0"/>
                                                          <w:marBottom w:val="0"/>
                                                          <w:divBdr>
                                                            <w:top w:val="none" w:sz="0" w:space="0" w:color="auto"/>
                                                            <w:left w:val="none" w:sz="0" w:space="0" w:color="auto"/>
                                                            <w:bottom w:val="none" w:sz="0" w:space="0" w:color="auto"/>
                                                            <w:right w:val="none" w:sz="0" w:space="0" w:color="auto"/>
                                                          </w:divBdr>
                                                          <w:divsChild>
                                                            <w:div w:id="1720592035">
                                                              <w:marLeft w:val="0"/>
                                                              <w:marRight w:val="0"/>
                                                              <w:marTop w:val="225"/>
                                                              <w:marBottom w:val="225"/>
                                                              <w:divBdr>
                                                                <w:top w:val="none" w:sz="0" w:space="0" w:color="auto"/>
                                                                <w:left w:val="none" w:sz="0" w:space="0" w:color="auto"/>
                                                                <w:bottom w:val="none" w:sz="0" w:space="0" w:color="auto"/>
                                                                <w:right w:val="none" w:sz="0" w:space="0" w:color="auto"/>
                                                              </w:divBdr>
                                                              <w:divsChild>
                                                                <w:div w:id="17668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oi.org/10.2903/j.efsa.2018.5171"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hyperlink" Target="https://doi.org/10.2903/j.efsa.2018.5478"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qmul.ac.uk/sbcs/iubmb/enzyme/EC3/2/1/133.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2903/j.efsa.2018.547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s://apps.who.int/food-additives-contaminants-jecfa-database/chemical.aspx?chemID=339" TargetMode="External"/><Relationship Id="rId10" Type="http://schemas.openxmlformats.org/officeDocument/2006/relationships/settings" Target="settings.xml"/><Relationship Id="rId19" Type="http://schemas.openxmlformats.org/officeDocument/2006/relationships/hyperlink" Target="https://efsa.onlinelibrary.wiley.com/doi/epdf/10.2903/j.efsa.2018.5168"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fsa.onlinelibrary.wiley.com/doi/10.2903/j.efsa.2019.576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lergenonline.org/" TargetMode="External"/><Relationship Id="rId1" Type="http://schemas.openxmlformats.org/officeDocument/2006/relationships/hyperlink" Target="https://www.unipr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BD0D65AA979B16469B6063AB90F354DE" ma:contentTypeVersion="8" ma:contentTypeDescription="Documents not created or owned by FSANZ. Such as: Personal resume, Journals or Restaurant menu. DO NOT use this for: drafts, free ideas or documents created or owned by FSANZ." ma:contentTypeScope="" ma:versionID="fa3dc97700018a89873c2ef12e8a9b9a">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a4fbf838172fc9a7367dcc7759f54340"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F2B3-974F-4315-9ED9-0369F9C6D66C}"/>
</file>

<file path=customXml/itemProps2.xml><?xml version="1.0" encoding="utf-8"?>
<ds:datastoreItem xmlns:ds="http://schemas.openxmlformats.org/officeDocument/2006/customXml" ds:itemID="{F9A3E1AD-78A5-4FFA-A6FD-0F17521825C9}"/>
</file>

<file path=customXml/itemProps3.xml><?xml version="1.0" encoding="utf-8"?>
<ds:datastoreItem xmlns:ds="http://schemas.openxmlformats.org/officeDocument/2006/customXml" ds:itemID="{22007E98-E3D6-4449-8F5D-92A4FA080364}"/>
</file>

<file path=customXml/itemProps4.xml><?xml version="1.0" encoding="utf-8"?>
<ds:datastoreItem xmlns:ds="http://schemas.openxmlformats.org/officeDocument/2006/customXml" ds:itemID="{C882F2B3-974F-4315-9ED9-0369F9C6D66C}">
  <ds:schemaRefs>
    <ds:schemaRef ds:uri="http://schemas.microsoft.com/sharepoint/v3/contenttype/forms"/>
  </ds:schemaRefs>
</ds:datastoreItem>
</file>

<file path=customXml/itemProps5.xml><?xml version="1.0" encoding="utf-8"?>
<ds:datastoreItem xmlns:ds="http://schemas.openxmlformats.org/officeDocument/2006/customXml" ds:itemID="{C884B7B9-63EB-4548-9384-F18823EA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41728A-D7E2-4760-96A5-AAC3EC225AB9}"/>
</file>

<file path=customXml/itemProps7.xml><?xml version="1.0" encoding="utf-8"?>
<ds:datastoreItem xmlns:ds="http://schemas.openxmlformats.org/officeDocument/2006/customXml" ds:itemID="{42766F59-3304-4D85-9A91-D173772816EE}"/>
</file>

<file path=docProps/app.xml><?xml version="1.0" encoding="utf-8"?>
<Properties xmlns="http://schemas.openxmlformats.org/officeDocument/2006/extended-properties" xmlns:vt="http://schemas.openxmlformats.org/officeDocument/2006/docPropsVTypes">
  <Template>Normal</Template>
  <TotalTime>0</TotalTime>
  <Pages>12</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30498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Tailee Vecchi</cp:lastModifiedBy>
  <cp:revision>2</cp:revision>
  <cp:lastPrinted>2019-10-27T22:00:00Z</cp:lastPrinted>
  <dcterms:created xsi:type="dcterms:W3CDTF">2021-01-27T00:18:00Z</dcterms:created>
  <dcterms:modified xsi:type="dcterms:W3CDTF">2021-01-27T00:18:00Z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1725238b-51d2-4179-82fb-ac318a1bb185</vt:lpwstr>
  </property>
  <property fmtid="{D5CDD505-2E9C-101B-9397-08002B2CF9AE}" pid="8" name="RecordPoint_WorkflowType">
    <vt:lpwstr>ActiveSubmitStub</vt:lpwstr>
  </property>
  <property fmtid="{D5CDD505-2E9C-101B-9397-08002B2CF9AE}" pid="9" name="RecordPoint_ActiveItemListId">
    <vt:lpwstr>{4285713c-5134-480f-9e1e-a76891c1e033}</vt:lpwstr>
  </property>
  <property fmtid="{D5CDD505-2E9C-101B-9397-08002B2CF9AE}" pid="10" name="RecordPoint_ActiveItemUniqueId">
    <vt:lpwstr>{c75e882c-2b3c-4231-90a5-b24c4209fd1b}</vt:lpwstr>
  </property>
  <property fmtid="{D5CDD505-2E9C-101B-9397-08002B2CF9AE}" pid="11" name="RecordPoint_ActiveItemWebId">
    <vt:lpwstr>{8d2373c6-6094-4a55-bb11-ba62e428c69a}</vt:lpwstr>
  </property>
  <property fmtid="{D5CDD505-2E9C-101B-9397-08002B2CF9AE}" pid="12" name="RecordPoint_ActiveItemSiteId">
    <vt:lpwstr>{dd95a578-5c6a-4f11-92f7-f95884d628d6}</vt:lpwstr>
  </property>
  <property fmtid="{D5CDD505-2E9C-101B-9397-08002B2CF9AE}" pid="13" name="RecordPoint_RecordNumberSubmitted">
    <vt:lpwstr>R0000110975</vt:lpwstr>
  </property>
  <property fmtid="{D5CDD505-2E9C-101B-9397-08002B2CF9AE}" pid="14" name="RecordPoint_SubmissionCompleted">
    <vt:lpwstr>2019-03-28T14:45:11.3316268+11:00</vt:lpwstr>
  </property>
  <property fmtid="{D5CDD505-2E9C-101B-9397-08002B2CF9AE}" pid="15" name="a41428b017d04df981d58ffdf035d7b8">
    <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